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4527"/>
        <w:gridCol w:w="4527"/>
      </w:tblGrid>
      <w:tr w:rsidR="005318EF" w:rsidTr="005318EF">
        <w:trPr>
          <w:trHeight w:val="410"/>
          <w:jc w:val="center"/>
        </w:trPr>
        <w:tc>
          <w:tcPr>
            <w:tcW w:w="2500" w:type="pct"/>
          </w:tcPr>
          <w:p w:rsidR="005318EF" w:rsidRDefault="005318EF" w:rsidP="00E16642">
            <w:r w:rsidRPr="003573FF">
              <w:rPr>
                <w:noProof/>
                <w:lang w:eastAsia="es-MX"/>
              </w:rPr>
              <w:drawing>
                <wp:inline distT="0" distB="0" distL="0" distR="0">
                  <wp:extent cx="601923" cy="614149"/>
                  <wp:effectExtent l="19050" t="0" r="7677" b="0"/>
                  <wp:docPr id="14" name="Imagen 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05837" cy="618143"/>
                          </a:xfrm>
                          <a:prstGeom prst="rect">
                            <a:avLst/>
                          </a:prstGeom>
                          <a:noFill/>
                          <a:ln w="9525">
                            <a:noFill/>
                            <a:miter lim="800000"/>
                            <a:headEnd/>
                            <a:tailEnd/>
                          </a:ln>
                        </pic:spPr>
                      </pic:pic>
                    </a:graphicData>
                  </a:graphic>
                </wp:inline>
              </w:drawing>
            </w:r>
          </w:p>
        </w:tc>
        <w:tc>
          <w:tcPr>
            <w:tcW w:w="2500" w:type="pct"/>
          </w:tcPr>
          <w:p w:rsidR="005318EF" w:rsidRDefault="005318EF" w:rsidP="00E16642">
            <w:pPr>
              <w:jc w:val="right"/>
            </w:pPr>
            <w:r w:rsidRPr="005318EF">
              <w:rPr>
                <w:noProof/>
                <w:lang w:eastAsia="es-MX"/>
              </w:rPr>
              <w:drawing>
                <wp:inline distT="0" distB="0" distL="0" distR="0">
                  <wp:extent cx="525410" cy="518615"/>
                  <wp:effectExtent l="19050" t="0" r="7990" b="0"/>
                  <wp:docPr id="16" name="Imagen 3" descr="C:\Users\SIKAID\Pictures\ciecas.png"/>
                  <wp:cNvGraphicFramePr/>
                  <a:graphic xmlns:a="http://schemas.openxmlformats.org/drawingml/2006/main">
                    <a:graphicData uri="http://schemas.openxmlformats.org/drawingml/2006/picture">
                      <pic:pic xmlns:pic="http://schemas.openxmlformats.org/drawingml/2006/picture">
                        <pic:nvPicPr>
                          <pic:cNvPr id="0" name="Picture 101" descr="C:\Users\SIKAID\Pictures\ciecas.png"/>
                          <pic:cNvPicPr>
                            <a:picLocks noChangeAspect="1" noChangeArrowheads="1"/>
                          </pic:cNvPicPr>
                        </pic:nvPicPr>
                        <pic:blipFill>
                          <a:blip r:embed="rId10" cstate="print">
                            <a:grayscl/>
                          </a:blip>
                          <a:srcRect/>
                          <a:stretch>
                            <a:fillRect/>
                          </a:stretch>
                        </pic:blipFill>
                        <pic:spPr bwMode="auto">
                          <a:xfrm>
                            <a:off x="0" y="0"/>
                            <a:ext cx="528469" cy="521634"/>
                          </a:xfrm>
                          <a:prstGeom prst="rect">
                            <a:avLst/>
                          </a:prstGeom>
                          <a:noFill/>
                          <a:ln w="9525">
                            <a:noFill/>
                            <a:miter lim="800000"/>
                            <a:headEnd/>
                            <a:tailEnd/>
                          </a:ln>
                        </pic:spPr>
                      </pic:pic>
                    </a:graphicData>
                  </a:graphic>
                </wp:inline>
              </w:drawing>
            </w:r>
          </w:p>
        </w:tc>
      </w:tr>
      <w:tr w:rsidR="00A60139" w:rsidTr="005318EF">
        <w:trPr>
          <w:trHeight w:val="2880"/>
          <w:jc w:val="center"/>
        </w:trPr>
        <w:tc>
          <w:tcPr>
            <w:tcW w:w="5000" w:type="pct"/>
            <w:gridSpan w:val="2"/>
          </w:tcPr>
          <w:p w:rsidR="00A60139" w:rsidRPr="005318EF" w:rsidRDefault="00A60139" w:rsidP="00E16642">
            <w:pPr>
              <w:pStyle w:val="Sinespaciado"/>
              <w:spacing w:line="360" w:lineRule="auto"/>
              <w:jc w:val="center"/>
              <w:rPr>
                <w:rFonts w:ascii="Arial" w:eastAsiaTheme="majorEastAsia" w:hAnsi="Arial" w:cs="Arial"/>
                <w:caps/>
                <w:sz w:val="32"/>
                <w:szCs w:val="32"/>
              </w:rPr>
            </w:pPr>
            <w:r w:rsidRPr="00A60139">
              <w:rPr>
                <w:rFonts w:ascii="Arial" w:eastAsiaTheme="majorEastAsia" w:hAnsi="Arial" w:cs="Arial"/>
                <w:caps/>
                <w:sz w:val="36"/>
                <w:szCs w:val="36"/>
              </w:rPr>
              <w:t>INSTITUTO pOLITÉCNICO nACIONAL</w:t>
            </w:r>
            <w:r w:rsidRPr="00A60139">
              <w:rPr>
                <w:rFonts w:ascii="Arial" w:eastAsiaTheme="majorEastAsia" w:hAnsi="Arial" w:cs="Arial"/>
                <w:caps/>
                <w:sz w:val="32"/>
                <w:szCs w:val="32"/>
              </w:rPr>
              <w:t xml:space="preserve">                                                                                                </w:t>
            </w:r>
            <w:r w:rsidRPr="00A60139">
              <w:rPr>
                <w:rFonts w:ascii="Arial" w:eastAsiaTheme="majorEastAsia" w:hAnsi="Arial" w:cs="Arial"/>
                <w:caps/>
                <w:sz w:val="28"/>
                <w:szCs w:val="28"/>
              </w:rPr>
              <w:t>CENTRO DE INVESTIGACIONES ECONÓMICAS                                                            ADMINISTRATIVAS Y SOCIALES</w:t>
            </w:r>
          </w:p>
        </w:tc>
      </w:tr>
      <w:tr w:rsidR="00A60139" w:rsidTr="005318EF">
        <w:trPr>
          <w:trHeight w:val="1440"/>
          <w:jc w:val="center"/>
        </w:trPr>
        <w:tc>
          <w:tcPr>
            <w:tcW w:w="5000" w:type="pct"/>
            <w:gridSpan w:val="2"/>
            <w:vAlign w:val="center"/>
          </w:tcPr>
          <w:p w:rsidR="00BF6F7F" w:rsidRDefault="00A60139" w:rsidP="00E16642">
            <w:pPr>
              <w:pStyle w:val="Sinespaciado"/>
              <w:spacing w:line="360" w:lineRule="auto"/>
              <w:jc w:val="center"/>
              <w:rPr>
                <w:rFonts w:ascii="Arial" w:eastAsiaTheme="majorEastAsia" w:hAnsi="Arial" w:cs="Arial"/>
                <w:sz w:val="36"/>
                <w:szCs w:val="36"/>
              </w:rPr>
            </w:pPr>
            <w:r w:rsidRPr="005318EF">
              <w:rPr>
                <w:rFonts w:ascii="Arial" w:eastAsiaTheme="majorEastAsia" w:hAnsi="Arial" w:cs="Arial"/>
                <w:sz w:val="36"/>
                <w:szCs w:val="36"/>
              </w:rPr>
              <w:t>Perspectivas de la Maestría en Ciencias en Metodología de la Ciencia</w:t>
            </w:r>
            <w:r w:rsidR="00BF6F7F">
              <w:rPr>
                <w:rFonts w:ascii="Arial" w:eastAsiaTheme="majorEastAsia" w:hAnsi="Arial" w:cs="Arial"/>
                <w:sz w:val="36"/>
                <w:szCs w:val="36"/>
              </w:rPr>
              <w:t>,</w:t>
            </w:r>
            <w:r w:rsidRPr="005318EF">
              <w:rPr>
                <w:rFonts w:ascii="Arial" w:eastAsiaTheme="majorEastAsia" w:hAnsi="Arial" w:cs="Arial"/>
                <w:sz w:val="36"/>
                <w:szCs w:val="36"/>
              </w:rPr>
              <w:t xml:space="preserve"> </w:t>
            </w:r>
          </w:p>
          <w:p w:rsidR="00BF6F7F" w:rsidRDefault="00A60139" w:rsidP="00E16642">
            <w:pPr>
              <w:pStyle w:val="Sinespaciado"/>
              <w:spacing w:line="360" w:lineRule="auto"/>
              <w:jc w:val="center"/>
              <w:rPr>
                <w:rFonts w:ascii="Arial" w:eastAsiaTheme="majorEastAsia" w:hAnsi="Arial" w:cs="Arial"/>
                <w:sz w:val="36"/>
                <w:szCs w:val="36"/>
              </w:rPr>
            </w:pPr>
            <w:r w:rsidRPr="005318EF">
              <w:rPr>
                <w:rFonts w:ascii="Arial" w:eastAsiaTheme="majorEastAsia" w:hAnsi="Arial" w:cs="Arial"/>
                <w:sz w:val="36"/>
                <w:szCs w:val="36"/>
              </w:rPr>
              <w:t xml:space="preserve">en el marco de </w:t>
            </w:r>
            <w:r w:rsidR="00BF6F7F">
              <w:rPr>
                <w:rFonts w:ascii="Arial" w:eastAsiaTheme="majorEastAsia" w:hAnsi="Arial" w:cs="Arial"/>
                <w:sz w:val="36"/>
                <w:szCs w:val="36"/>
              </w:rPr>
              <w:t xml:space="preserve">los criterios </w:t>
            </w:r>
            <w:r w:rsidRPr="005318EF">
              <w:rPr>
                <w:rFonts w:ascii="Arial" w:eastAsiaTheme="majorEastAsia" w:hAnsi="Arial" w:cs="Arial"/>
                <w:sz w:val="36"/>
                <w:szCs w:val="36"/>
              </w:rPr>
              <w:t xml:space="preserve">institucionales </w:t>
            </w:r>
          </w:p>
          <w:p w:rsidR="00A60139" w:rsidRPr="005318EF" w:rsidRDefault="00A60139" w:rsidP="00E16642">
            <w:pPr>
              <w:pStyle w:val="Sinespaciado"/>
              <w:spacing w:line="360" w:lineRule="auto"/>
              <w:jc w:val="center"/>
              <w:rPr>
                <w:rFonts w:ascii="Arial" w:eastAsiaTheme="majorEastAsia" w:hAnsi="Arial" w:cs="Arial"/>
                <w:sz w:val="36"/>
                <w:szCs w:val="36"/>
              </w:rPr>
            </w:pPr>
            <w:r w:rsidRPr="005318EF">
              <w:rPr>
                <w:rFonts w:ascii="Arial" w:eastAsiaTheme="majorEastAsia" w:hAnsi="Arial" w:cs="Arial"/>
                <w:sz w:val="36"/>
                <w:szCs w:val="36"/>
              </w:rPr>
              <w:t>y nacionales del posgrado</w:t>
            </w:r>
          </w:p>
        </w:tc>
      </w:tr>
      <w:tr w:rsidR="00A60139" w:rsidTr="005318EF">
        <w:trPr>
          <w:trHeight w:val="720"/>
          <w:jc w:val="center"/>
        </w:trPr>
        <w:tc>
          <w:tcPr>
            <w:tcW w:w="5000" w:type="pct"/>
            <w:gridSpan w:val="2"/>
            <w:vAlign w:val="center"/>
          </w:tcPr>
          <w:p w:rsidR="00A60139" w:rsidRDefault="00A60139" w:rsidP="00964E09">
            <w:pPr>
              <w:pStyle w:val="Sinespaciado"/>
              <w:spacing w:line="360" w:lineRule="auto"/>
              <w:rPr>
                <w:rFonts w:asciiTheme="majorHAnsi" w:eastAsiaTheme="majorEastAsia" w:hAnsiTheme="majorHAnsi" w:cstheme="majorBidi"/>
                <w:sz w:val="44"/>
                <w:szCs w:val="44"/>
              </w:rPr>
            </w:pPr>
          </w:p>
        </w:tc>
      </w:tr>
      <w:tr w:rsidR="00A60139" w:rsidRPr="00A60139" w:rsidTr="005318EF">
        <w:trPr>
          <w:trHeight w:val="360"/>
          <w:jc w:val="center"/>
        </w:trPr>
        <w:tc>
          <w:tcPr>
            <w:tcW w:w="5000" w:type="pct"/>
            <w:gridSpan w:val="2"/>
            <w:vAlign w:val="center"/>
          </w:tcPr>
          <w:p w:rsidR="00A60139" w:rsidRPr="00A60139" w:rsidRDefault="00BF6F7F" w:rsidP="00E16642">
            <w:pPr>
              <w:pStyle w:val="Sinespaciado"/>
              <w:spacing w:line="360" w:lineRule="auto"/>
              <w:jc w:val="center"/>
              <w:rPr>
                <w:rFonts w:ascii="Arial" w:hAnsi="Arial" w:cs="Arial"/>
                <w:sz w:val="28"/>
                <w:szCs w:val="28"/>
              </w:rPr>
            </w:pPr>
            <w:r>
              <w:rPr>
                <w:rFonts w:ascii="Arial" w:hAnsi="Arial" w:cs="Arial"/>
                <w:sz w:val="28"/>
                <w:szCs w:val="28"/>
              </w:rPr>
              <w:t xml:space="preserve">    </w:t>
            </w:r>
          </w:p>
          <w:p w:rsidR="00A60139" w:rsidRPr="00A60139" w:rsidRDefault="00A60139" w:rsidP="00E16642">
            <w:pPr>
              <w:pStyle w:val="Sinespaciado"/>
              <w:spacing w:line="360" w:lineRule="auto"/>
              <w:jc w:val="center"/>
              <w:rPr>
                <w:rFonts w:ascii="Arial" w:hAnsi="Arial" w:cs="Arial"/>
                <w:sz w:val="28"/>
                <w:szCs w:val="28"/>
              </w:rPr>
            </w:pPr>
            <w:r w:rsidRPr="00A60139">
              <w:rPr>
                <w:rFonts w:ascii="Arial" w:hAnsi="Arial" w:cs="Arial"/>
                <w:sz w:val="28"/>
                <w:szCs w:val="28"/>
              </w:rPr>
              <w:t xml:space="preserve">Tesis que para obtener el grado de </w:t>
            </w:r>
          </w:p>
          <w:p w:rsidR="00A60139" w:rsidRPr="00A60139" w:rsidRDefault="001C3F30" w:rsidP="00E16642">
            <w:pPr>
              <w:pStyle w:val="Sinespaciado"/>
              <w:spacing w:line="360" w:lineRule="auto"/>
              <w:jc w:val="center"/>
              <w:rPr>
                <w:rFonts w:ascii="Arial" w:hAnsi="Arial" w:cs="Arial"/>
                <w:sz w:val="28"/>
                <w:szCs w:val="28"/>
              </w:rPr>
            </w:pPr>
            <w:r>
              <w:rPr>
                <w:rFonts w:ascii="Arial" w:hAnsi="Arial" w:cs="Arial"/>
                <w:sz w:val="28"/>
                <w:szCs w:val="28"/>
              </w:rPr>
              <w:t>Maestr</w:t>
            </w:r>
            <w:r w:rsidR="00B20C48">
              <w:rPr>
                <w:rFonts w:ascii="Arial" w:hAnsi="Arial" w:cs="Arial"/>
                <w:sz w:val="28"/>
                <w:szCs w:val="28"/>
              </w:rPr>
              <w:t>í</w:t>
            </w:r>
            <w:r>
              <w:rPr>
                <w:rFonts w:ascii="Arial" w:hAnsi="Arial" w:cs="Arial"/>
                <w:sz w:val="28"/>
                <w:szCs w:val="28"/>
              </w:rPr>
              <w:t>a</w:t>
            </w:r>
            <w:r w:rsidR="00A60139" w:rsidRPr="00A60139">
              <w:rPr>
                <w:rFonts w:ascii="Arial" w:hAnsi="Arial" w:cs="Arial"/>
                <w:sz w:val="28"/>
                <w:szCs w:val="28"/>
              </w:rPr>
              <w:t xml:space="preserve"> en Ciencias en Metodología de la Ciencia </w:t>
            </w:r>
          </w:p>
          <w:p w:rsidR="00A60139" w:rsidRDefault="00A60139" w:rsidP="00E16642">
            <w:pPr>
              <w:pStyle w:val="Sinespaciado"/>
              <w:spacing w:line="360" w:lineRule="auto"/>
              <w:jc w:val="center"/>
              <w:rPr>
                <w:rFonts w:ascii="Arial" w:hAnsi="Arial" w:cs="Arial"/>
                <w:sz w:val="28"/>
                <w:szCs w:val="28"/>
              </w:rPr>
            </w:pPr>
            <w:r w:rsidRPr="00A60139">
              <w:rPr>
                <w:rFonts w:ascii="Arial" w:hAnsi="Arial" w:cs="Arial"/>
                <w:sz w:val="28"/>
                <w:szCs w:val="28"/>
              </w:rPr>
              <w:t>presenta:</w:t>
            </w:r>
          </w:p>
          <w:p w:rsidR="00A60139" w:rsidRPr="00A60139" w:rsidRDefault="00A60139" w:rsidP="00E16642">
            <w:pPr>
              <w:pStyle w:val="Sinespaciado"/>
              <w:spacing w:line="360" w:lineRule="auto"/>
              <w:jc w:val="center"/>
              <w:rPr>
                <w:rFonts w:ascii="Arial" w:hAnsi="Arial" w:cs="Arial"/>
                <w:sz w:val="28"/>
                <w:szCs w:val="28"/>
              </w:rPr>
            </w:pPr>
          </w:p>
        </w:tc>
      </w:tr>
      <w:tr w:rsidR="00A60139" w:rsidRPr="00A60139" w:rsidTr="005318EF">
        <w:trPr>
          <w:trHeight w:val="360"/>
          <w:jc w:val="center"/>
        </w:trPr>
        <w:tc>
          <w:tcPr>
            <w:tcW w:w="5000" w:type="pct"/>
            <w:gridSpan w:val="2"/>
            <w:vAlign w:val="center"/>
          </w:tcPr>
          <w:p w:rsidR="00A60139" w:rsidRPr="00A60139" w:rsidRDefault="00A60139" w:rsidP="00E16642">
            <w:pPr>
              <w:pStyle w:val="Sinespaciado"/>
              <w:spacing w:line="360" w:lineRule="auto"/>
              <w:jc w:val="center"/>
              <w:rPr>
                <w:rFonts w:ascii="Arial" w:hAnsi="Arial" w:cs="Arial"/>
                <w:b/>
                <w:bCs/>
                <w:sz w:val="28"/>
                <w:szCs w:val="28"/>
              </w:rPr>
            </w:pPr>
            <w:r w:rsidRPr="00A60139">
              <w:rPr>
                <w:rFonts w:ascii="Arial" w:hAnsi="Arial" w:cs="Arial"/>
                <w:b/>
                <w:bCs/>
                <w:sz w:val="28"/>
                <w:szCs w:val="28"/>
                <w:lang w:val="es-MX"/>
              </w:rPr>
              <w:t xml:space="preserve">Fanny Lucía </w:t>
            </w:r>
            <w:proofErr w:type="spellStart"/>
            <w:r w:rsidRPr="00A60139">
              <w:rPr>
                <w:rFonts w:ascii="Arial" w:hAnsi="Arial" w:cs="Arial"/>
                <w:b/>
                <w:bCs/>
                <w:sz w:val="28"/>
                <w:szCs w:val="28"/>
                <w:lang w:val="es-MX"/>
              </w:rPr>
              <w:t>Urrego</w:t>
            </w:r>
            <w:proofErr w:type="spellEnd"/>
            <w:r w:rsidRPr="00A60139">
              <w:rPr>
                <w:rFonts w:ascii="Arial" w:hAnsi="Arial" w:cs="Arial"/>
                <w:b/>
                <w:bCs/>
                <w:sz w:val="28"/>
                <w:szCs w:val="28"/>
                <w:lang w:val="es-MX"/>
              </w:rPr>
              <w:t xml:space="preserve"> Cedillo</w:t>
            </w:r>
          </w:p>
        </w:tc>
      </w:tr>
      <w:tr w:rsidR="00A60139" w:rsidRPr="00A60139" w:rsidTr="005318EF">
        <w:trPr>
          <w:trHeight w:val="360"/>
          <w:jc w:val="center"/>
        </w:trPr>
        <w:tc>
          <w:tcPr>
            <w:tcW w:w="5000" w:type="pct"/>
            <w:gridSpan w:val="2"/>
            <w:vAlign w:val="center"/>
          </w:tcPr>
          <w:p w:rsidR="00A60139" w:rsidRPr="00A60139" w:rsidRDefault="00A60139" w:rsidP="00E16642">
            <w:pPr>
              <w:pStyle w:val="Sinespaciado"/>
              <w:spacing w:line="360" w:lineRule="auto"/>
              <w:jc w:val="center"/>
              <w:rPr>
                <w:rFonts w:ascii="Arial" w:hAnsi="Arial" w:cs="Arial"/>
                <w:b/>
                <w:bCs/>
              </w:rPr>
            </w:pPr>
          </w:p>
        </w:tc>
      </w:tr>
    </w:tbl>
    <w:p w:rsidR="00A60139" w:rsidRPr="00A60139" w:rsidRDefault="00436254" w:rsidP="00E16642">
      <w:pPr>
        <w:jc w:val="center"/>
        <w:rPr>
          <w:rFonts w:cs="Arial"/>
          <w:sz w:val="28"/>
          <w:szCs w:val="28"/>
        </w:rPr>
      </w:pPr>
      <w:r>
        <w:rPr>
          <w:rFonts w:cs="Arial"/>
          <w:sz w:val="28"/>
          <w:szCs w:val="28"/>
        </w:rPr>
        <w:t>Director</w:t>
      </w:r>
      <w:r w:rsidR="00A60139" w:rsidRPr="00A60139">
        <w:rPr>
          <w:rFonts w:cs="Arial"/>
          <w:sz w:val="28"/>
          <w:szCs w:val="28"/>
        </w:rPr>
        <w:t xml:space="preserve"> de Tesis</w:t>
      </w:r>
    </w:p>
    <w:p w:rsidR="00A60139" w:rsidRDefault="00A60139" w:rsidP="00E16642">
      <w:pPr>
        <w:jc w:val="center"/>
        <w:rPr>
          <w:rFonts w:cs="Arial"/>
          <w:sz w:val="28"/>
          <w:szCs w:val="28"/>
        </w:rPr>
      </w:pPr>
      <w:r w:rsidRPr="00A60139">
        <w:rPr>
          <w:rFonts w:cs="Arial"/>
          <w:sz w:val="28"/>
          <w:szCs w:val="28"/>
        </w:rPr>
        <w:t>Dr. Luis Mauricio Rodríguez Salazar</w:t>
      </w:r>
    </w:p>
    <w:p w:rsidR="00964E09" w:rsidRDefault="00964E09" w:rsidP="00E16642">
      <w:pPr>
        <w:rPr>
          <w:rFonts w:cs="Arial"/>
        </w:rPr>
      </w:pPr>
    </w:p>
    <w:p w:rsidR="00964E09" w:rsidRDefault="00964E09" w:rsidP="00E16642">
      <w:pPr>
        <w:rPr>
          <w:rFonts w:cs="Arial"/>
        </w:rPr>
      </w:pPr>
    </w:p>
    <w:p w:rsidR="00A60139" w:rsidRDefault="00A60139" w:rsidP="00E16642">
      <w:pPr>
        <w:rPr>
          <w:rFonts w:cs="Arial"/>
        </w:rPr>
      </w:pPr>
      <w:r>
        <w:rPr>
          <w:rFonts w:cs="Arial"/>
        </w:rPr>
        <w:t>México, D.F.</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B760B">
        <w:rPr>
          <w:rFonts w:cs="Arial"/>
        </w:rPr>
        <w:t xml:space="preserve">          Noviembre </w:t>
      </w:r>
      <w:r>
        <w:rPr>
          <w:rFonts w:cs="Arial"/>
        </w:rPr>
        <w:t>2011</w:t>
      </w:r>
    </w:p>
    <w:p w:rsidR="00EB760B" w:rsidRDefault="00EB760B">
      <w:pPr>
        <w:spacing w:after="200" w:line="276" w:lineRule="auto"/>
        <w:jc w:val="left"/>
        <w:rPr>
          <w:rFonts w:cs="Arial"/>
        </w:rPr>
      </w:pPr>
      <w:r>
        <w:rPr>
          <w:rFonts w:cs="Arial"/>
        </w:rPr>
        <w:br w:type="page"/>
      </w:r>
    </w:p>
    <w:p w:rsidR="00EB760B" w:rsidRPr="00A60139" w:rsidRDefault="00EB760B" w:rsidP="00E16642">
      <w:pPr>
        <w:rPr>
          <w:rFonts w:cs="Arial"/>
        </w:rPr>
      </w:pPr>
      <w:r>
        <w:rPr>
          <w:rFonts w:cs="Arial"/>
          <w:noProof/>
          <w:lang w:eastAsia="es-MX"/>
        </w:rPr>
        <w:lastRenderedPageBreak/>
        <w:drawing>
          <wp:inline distT="0" distB="0" distL="0" distR="0">
            <wp:extent cx="5610860" cy="72567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860" cy="7256780"/>
                    </a:xfrm>
                    <a:prstGeom prst="rect">
                      <a:avLst/>
                    </a:prstGeom>
                    <a:noFill/>
                    <a:ln>
                      <a:noFill/>
                    </a:ln>
                  </pic:spPr>
                </pic:pic>
              </a:graphicData>
            </a:graphic>
          </wp:inline>
        </w:drawing>
      </w:r>
    </w:p>
    <w:p w:rsidR="00EB760B" w:rsidRDefault="00EB760B">
      <w:pPr>
        <w:spacing w:after="200" w:line="276" w:lineRule="auto"/>
        <w:jc w:val="left"/>
        <w:rPr>
          <w:sz w:val="18"/>
        </w:rPr>
      </w:pPr>
      <w:bookmarkStart w:id="0" w:name="_Toc268532590"/>
      <w:bookmarkStart w:id="1" w:name="_Toc244861483"/>
      <w:bookmarkStart w:id="2" w:name="_Toc244495777"/>
      <w:bookmarkStart w:id="3" w:name="_Toc244861163"/>
      <w:bookmarkStart w:id="4" w:name="_Toc250459093"/>
      <w:bookmarkStart w:id="5" w:name="_Toc250459175"/>
      <w:r>
        <w:rPr>
          <w:sz w:val="18"/>
        </w:rPr>
        <w:br w:type="page"/>
      </w:r>
    </w:p>
    <w:p w:rsidR="00C8371A" w:rsidRDefault="00EB760B" w:rsidP="00E16642">
      <w:pPr>
        <w:spacing w:after="200"/>
        <w:jc w:val="left"/>
        <w:rPr>
          <w:sz w:val="18"/>
        </w:rPr>
      </w:pPr>
      <w:r>
        <w:rPr>
          <w:noProof/>
          <w:sz w:val="18"/>
          <w:lang w:eastAsia="es-MX"/>
        </w:rPr>
        <w:lastRenderedPageBreak/>
        <w:drawing>
          <wp:inline distT="0" distB="0" distL="0" distR="0">
            <wp:extent cx="5610860" cy="725678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860" cy="7256780"/>
                    </a:xfrm>
                    <a:prstGeom prst="rect">
                      <a:avLst/>
                    </a:prstGeom>
                    <a:noFill/>
                    <a:ln>
                      <a:noFill/>
                    </a:ln>
                  </pic:spPr>
                </pic:pic>
              </a:graphicData>
            </a:graphic>
          </wp:inline>
        </w:drawing>
      </w:r>
      <w:bookmarkStart w:id="6" w:name="_GoBack"/>
      <w:bookmarkEnd w:id="6"/>
      <w:r w:rsidR="00C8371A">
        <w:rPr>
          <w:sz w:val="18"/>
        </w:rPr>
        <w:br w:type="page"/>
      </w:r>
    </w:p>
    <w:sdt>
      <w:sdtPr>
        <w:rPr>
          <w:rFonts w:ascii="Arial" w:eastAsiaTheme="minorHAnsi" w:hAnsi="Arial" w:cstheme="minorBidi"/>
          <w:b w:val="0"/>
          <w:bCs w:val="0"/>
          <w:color w:val="auto"/>
          <w:sz w:val="24"/>
          <w:szCs w:val="22"/>
          <w:lang w:val="es-MX"/>
        </w:rPr>
        <w:id w:val="765203"/>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lang w:val="es-ES"/>
        </w:rPr>
      </w:sdtEndPr>
      <w:sdtContent>
        <w:sdt>
          <w:sdtPr>
            <w:rPr>
              <w:rFonts w:ascii="Arial" w:eastAsiaTheme="minorHAnsi" w:hAnsi="Arial" w:cstheme="minorBidi"/>
              <w:b w:val="0"/>
              <w:bCs w:val="0"/>
              <w:color w:val="auto"/>
              <w:sz w:val="24"/>
              <w:szCs w:val="22"/>
              <w:lang w:val="es-MX"/>
            </w:rPr>
            <w:id w:val="3715322"/>
            <w:docPartObj>
              <w:docPartGallery w:val="Table of Contents"/>
              <w:docPartUnique/>
            </w:docPartObj>
          </w:sdtPr>
          <w:sdtEndPr/>
          <w:sdtContent>
            <w:p w:rsidR="000B1204" w:rsidRPr="00AA0575" w:rsidRDefault="000B1204" w:rsidP="000B1204">
              <w:pPr>
                <w:pStyle w:val="TtulodeTDC"/>
                <w:spacing w:line="360" w:lineRule="auto"/>
                <w:jc w:val="center"/>
                <w:rPr>
                  <w:color w:val="auto"/>
                </w:rPr>
              </w:pPr>
              <w:r w:rsidRPr="00AA0575">
                <w:rPr>
                  <w:rFonts w:ascii="Arial" w:hAnsi="Arial" w:cs="Arial"/>
                  <w:color w:val="auto"/>
                  <w:sz w:val="24"/>
                  <w:szCs w:val="24"/>
                </w:rPr>
                <w:t>ÍNDICE</w:t>
              </w:r>
            </w:p>
            <w:p w:rsidR="000B1204" w:rsidRPr="00AA0575" w:rsidRDefault="000B1204" w:rsidP="003E1A0D">
              <w:pPr>
                <w:pStyle w:val="TDC1"/>
              </w:pPr>
            </w:p>
            <w:p w:rsidR="003E1A0D" w:rsidRDefault="000B1204" w:rsidP="003E1A0D">
              <w:pPr>
                <w:pStyle w:val="TDC1"/>
                <w:rPr>
                  <w:rFonts w:asciiTheme="minorHAnsi" w:eastAsiaTheme="minorEastAsia" w:hAnsiTheme="minorHAnsi"/>
                  <w:noProof/>
                  <w:sz w:val="22"/>
                  <w:lang w:eastAsia="es-MX"/>
                </w:rPr>
              </w:pPr>
              <w:r w:rsidRPr="003766FA">
                <w:fldChar w:fldCharType="begin"/>
              </w:r>
              <w:r w:rsidRPr="003766FA">
                <w:instrText xml:space="preserve"> TOC \o "1-3" \h \z \u </w:instrText>
              </w:r>
              <w:r w:rsidRPr="003766FA">
                <w:fldChar w:fldCharType="separate"/>
              </w:r>
              <w:hyperlink w:anchor="_Toc308691475" w:history="1">
                <w:r w:rsidR="003E1A0D" w:rsidRPr="00F00B14">
                  <w:rPr>
                    <w:rStyle w:val="Hipervnculo"/>
                    <w:noProof/>
                  </w:rPr>
                  <w:t>Resumen</w:t>
                </w:r>
                <w:r w:rsidR="003E1A0D">
                  <w:rPr>
                    <w:noProof/>
                    <w:webHidden/>
                  </w:rPr>
                  <w:tab/>
                </w:r>
                <w:r w:rsidR="003E1A0D">
                  <w:rPr>
                    <w:noProof/>
                    <w:webHidden/>
                  </w:rPr>
                  <w:fldChar w:fldCharType="begin"/>
                </w:r>
                <w:r w:rsidR="003E1A0D">
                  <w:rPr>
                    <w:noProof/>
                    <w:webHidden/>
                  </w:rPr>
                  <w:instrText xml:space="preserve"> PAGEREF _Toc308691475 \h </w:instrText>
                </w:r>
                <w:r w:rsidR="003E1A0D">
                  <w:rPr>
                    <w:noProof/>
                    <w:webHidden/>
                  </w:rPr>
                </w:r>
                <w:r w:rsidR="003E1A0D">
                  <w:rPr>
                    <w:noProof/>
                    <w:webHidden/>
                  </w:rPr>
                  <w:fldChar w:fldCharType="separate"/>
                </w:r>
                <w:r w:rsidR="00C34B46">
                  <w:rPr>
                    <w:noProof/>
                    <w:webHidden/>
                  </w:rPr>
                  <w:t>v</w:t>
                </w:r>
                <w:r w:rsidR="003E1A0D">
                  <w:rPr>
                    <w:noProof/>
                    <w:webHidden/>
                  </w:rPr>
                  <w:fldChar w:fldCharType="end"/>
                </w:r>
              </w:hyperlink>
            </w:p>
            <w:p w:rsidR="003E1A0D" w:rsidRDefault="00EB760B" w:rsidP="003E1A0D">
              <w:pPr>
                <w:pStyle w:val="TDC1"/>
                <w:rPr>
                  <w:rFonts w:asciiTheme="minorHAnsi" w:eastAsiaTheme="minorEastAsia" w:hAnsiTheme="minorHAnsi"/>
                  <w:noProof/>
                  <w:sz w:val="22"/>
                  <w:lang w:eastAsia="es-MX"/>
                </w:rPr>
              </w:pPr>
              <w:hyperlink w:anchor="_Toc308691476" w:history="1">
                <w:r w:rsidR="003E1A0D" w:rsidRPr="00F00B14">
                  <w:rPr>
                    <w:rStyle w:val="Hipervnculo"/>
                    <w:noProof/>
                    <w:lang w:val="en-US"/>
                  </w:rPr>
                  <w:t>Abstract</w:t>
                </w:r>
                <w:r w:rsidR="003E1A0D">
                  <w:rPr>
                    <w:noProof/>
                    <w:webHidden/>
                  </w:rPr>
                  <w:tab/>
                </w:r>
                <w:r w:rsidR="003E1A0D">
                  <w:rPr>
                    <w:noProof/>
                    <w:webHidden/>
                  </w:rPr>
                  <w:fldChar w:fldCharType="begin"/>
                </w:r>
                <w:r w:rsidR="003E1A0D">
                  <w:rPr>
                    <w:noProof/>
                    <w:webHidden/>
                  </w:rPr>
                  <w:instrText xml:space="preserve"> PAGEREF _Toc308691476 \h </w:instrText>
                </w:r>
                <w:r w:rsidR="003E1A0D">
                  <w:rPr>
                    <w:noProof/>
                    <w:webHidden/>
                  </w:rPr>
                </w:r>
                <w:r w:rsidR="003E1A0D">
                  <w:rPr>
                    <w:noProof/>
                    <w:webHidden/>
                  </w:rPr>
                  <w:fldChar w:fldCharType="separate"/>
                </w:r>
                <w:r w:rsidR="00C34B46">
                  <w:rPr>
                    <w:noProof/>
                    <w:webHidden/>
                  </w:rPr>
                  <w:t>vi</w:t>
                </w:r>
                <w:r w:rsidR="003E1A0D">
                  <w:rPr>
                    <w:noProof/>
                    <w:webHidden/>
                  </w:rPr>
                  <w:fldChar w:fldCharType="end"/>
                </w:r>
              </w:hyperlink>
            </w:p>
            <w:p w:rsidR="003E1A0D" w:rsidRDefault="00EB760B" w:rsidP="003E1A0D">
              <w:pPr>
                <w:pStyle w:val="TDC1"/>
                <w:rPr>
                  <w:rStyle w:val="Hipervnculo"/>
                  <w:noProof/>
                </w:rPr>
              </w:pPr>
              <w:hyperlink w:anchor="_Toc308691477" w:history="1">
                <w:r w:rsidR="003E1A0D" w:rsidRPr="00F00B14">
                  <w:rPr>
                    <w:rStyle w:val="Hipervnculo"/>
                    <w:noProof/>
                  </w:rPr>
                  <w:t>Introducción</w:t>
                </w:r>
                <w:r w:rsidR="003E1A0D">
                  <w:rPr>
                    <w:noProof/>
                    <w:webHidden/>
                  </w:rPr>
                  <w:tab/>
                </w:r>
                <w:r w:rsidR="003E1A0D">
                  <w:rPr>
                    <w:noProof/>
                    <w:webHidden/>
                  </w:rPr>
                  <w:fldChar w:fldCharType="begin"/>
                </w:r>
                <w:r w:rsidR="003E1A0D">
                  <w:rPr>
                    <w:noProof/>
                    <w:webHidden/>
                  </w:rPr>
                  <w:instrText xml:space="preserve"> PAGEREF _Toc308691477 \h </w:instrText>
                </w:r>
                <w:r w:rsidR="003E1A0D">
                  <w:rPr>
                    <w:noProof/>
                    <w:webHidden/>
                  </w:rPr>
                </w:r>
                <w:r w:rsidR="003E1A0D">
                  <w:rPr>
                    <w:noProof/>
                    <w:webHidden/>
                  </w:rPr>
                  <w:fldChar w:fldCharType="separate"/>
                </w:r>
                <w:r w:rsidR="00C34B46">
                  <w:rPr>
                    <w:noProof/>
                    <w:webHidden/>
                  </w:rPr>
                  <w:t>vii</w:t>
                </w:r>
                <w:r w:rsidR="003E1A0D">
                  <w:rPr>
                    <w:noProof/>
                    <w:webHidden/>
                  </w:rPr>
                  <w:fldChar w:fldCharType="end"/>
                </w:r>
              </w:hyperlink>
            </w:p>
            <w:p w:rsidR="003E1A0D" w:rsidRDefault="003E1A0D" w:rsidP="003E1A0D">
              <w:pPr>
                <w:rPr>
                  <w:noProof/>
                </w:rPr>
              </w:pPr>
            </w:p>
            <w:p w:rsidR="003E1A0D" w:rsidRDefault="003E1A0D" w:rsidP="003E1A0D">
              <w:pPr>
                <w:jc w:val="center"/>
                <w:rPr>
                  <w:noProof/>
                </w:rPr>
              </w:pPr>
              <w:r>
                <w:rPr>
                  <w:noProof/>
                </w:rPr>
                <w:t>Capítulo I</w:t>
              </w:r>
            </w:p>
            <w:p w:rsidR="003E1A0D" w:rsidRPr="003E1A0D" w:rsidRDefault="003E1A0D" w:rsidP="003E1A0D">
              <w:pPr>
                <w:jc w:val="center"/>
                <w:rPr>
                  <w:noProof/>
                </w:rPr>
              </w:pPr>
            </w:p>
            <w:p w:rsidR="003E1A0D" w:rsidRDefault="00EB760B" w:rsidP="003E1A0D">
              <w:pPr>
                <w:pStyle w:val="TDC1"/>
                <w:rPr>
                  <w:rFonts w:asciiTheme="minorHAnsi" w:eastAsiaTheme="minorEastAsia" w:hAnsiTheme="minorHAnsi"/>
                  <w:noProof/>
                  <w:sz w:val="22"/>
                  <w:lang w:eastAsia="es-MX"/>
                </w:rPr>
              </w:pPr>
              <w:hyperlink w:anchor="_Toc308691478" w:history="1">
                <w:r w:rsidR="003E1A0D" w:rsidRPr="00F00B14">
                  <w:rPr>
                    <w:rStyle w:val="Hipervnculo"/>
                    <w:noProof/>
                  </w:rPr>
                  <w:t>Maestría en Ciencias en Metodología de la Ciencia: un debate entre la orientación a la investigación y la orientación profesionalizante</w:t>
                </w:r>
                <w:r w:rsidR="003E1A0D">
                  <w:rPr>
                    <w:noProof/>
                    <w:webHidden/>
                  </w:rPr>
                  <w:tab/>
                </w:r>
                <w:r w:rsidR="003E1A0D">
                  <w:rPr>
                    <w:noProof/>
                    <w:webHidden/>
                  </w:rPr>
                  <w:fldChar w:fldCharType="begin"/>
                </w:r>
                <w:r w:rsidR="003E1A0D">
                  <w:rPr>
                    <w:noProof/>
                    <w:webHidden/>
                  </w:rPr>
                  <w:instrText xml:space="preserve"> PAGEREF _Toc308691478 \h </w:instrText>
                </w:r>
                <w:r w:rsidR="003E1A0D">
                  <w:rPr>
                    <w:noProof/>
                    <w:webHidden/>
                  </w:rPr>
                </w:r>
                <w:r w:rsidR="003E1A0D">
                  <w:rPr>
                    <w:noProof/>
                    <w:webHidden/>
                  </w:rPr>
                  <w:fldChar w:fldCharType="separate"/>
                </w:r>
                <w:r w:rsidR="00C34B46">
                  <w:rPr>
                    <w:noProof/>
                    <w:webHidden/>
                  </w:rPr>
                  <w:t>1</w:t>
                </w:r>
                <w:r w:rsid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1.1 </w:t>
              </w:r>
              <w:hyperlink w:anchor="_Toc308691479" w:history="1">
                <w:r w:rsidRPr="003E1A0D">
                  <w:rPr>
                    <w:rStyle w:val="Hipervnculo"/>
                    <w:noProof/>
                    <w:color w:val="auto"/>
                    <w:u w:val="none"/>
                  </w:rPr>
                  <w:t>Metodología</w:t>
                </w:r>
                <w:r w:rsidRPr="003E1A0D">
                  <w:rPr>
                    <w:noProof/>
                    <w:webHidden/>
                  </w:rPr>
                  <w:tab/>
                </w:r>
                <w:r w:rsidRPr="003E1A0D">
                  <w:rPr>
                    <w:noProof/>
                    <w:webHidden/>
                  </w:rPr>
                  <w:fldChar w:fldCharType="begin"/>
                </w:r>
                <w:r w:rsidRPr="003E1A0D">
                  <w:rPr>
                    <w:noProof/>
                    <w:webHidden/>
                  </w:rPr>
                  <w:instrText xml:space="preserve"> PAGEREF _Toc308691479 \h </w:instrText>
                </w:r>
                <w:r w:rsidRPr="003E1A0D">
                  <w:rPr>
                    <w:noProof/>
                    <w:webHidden/>
                  </w:rPr>
                </w:r>
                <w:r w:rsidRPr="003E1A0D">
                  <w:rPr>
                    <w:noProof/>
                    <w:webHidden/>
                  </w:rPr>
                  <w:fldChar w:fldCharType="separate"/>
                </w:r>
                <w:r w:rsidR="00C34B46">
                  <w:rPr>
                    <w:noProof/>
                    <w:webHidden/>
                  </w:rPr>
                  <w:t>3</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1.2 </w:t>
              </w:r>
              <w:hyperlink w:anchor="_Toc308691480" w:history="1">
                <w:r w:rsidRPr="003E1A0D">
                  <w:rPr>
                    <w:rStyle w:val="Hipervnculo"/>
                    <w:noProof/>
                    <w:color w:val="auto"/>
                    <w:u w:val="none"/>
                  </w:rPr>
                  <w:t>Metodología, mirada desde las IES</w:t>
                </w:r>
                <w:r w:rsidRPr="003E1A0D">
                  <w:rPr>
                    <w:noProof/>
                    <w:webHidden/>
                  </w:rPr>
                  <w:tab/>
                </w:r>
                <w:r w:rsidRPr="003E1A0D">
                  <w:rPr>
                    <w:noProof/>
                    <w:webHidden/>
                  </w:rPr>
                  <w:fldChar w:fldCharType="begin"/>
                </w:r>
                <w:r w:rsidRPr="003E1A0D">
                  <w:rPr>
                    <w:noProof/>
                    <w:webHidden/>
                  </w:rPr>
                  <w:instrText xml:space="preserve"> PAGEREF _Toc308691480 \h </w:instrText>
                </w:r>
                <w:r w:rsidRPr="003E1A0D">
                  <w:rPr>
                    <w:noProof/>
                    <w:webHidden/>
                  </w:rPr>
                </w:r>
                <w:r w:rsidRPr="003E1A0D">
                  <w:rPr>
                    <w:noProof/>
                    <w:webHidden/>
                  </w:rPr>
                  <w:fldChar w:fldCharType="separate"/>
                </w:r>
                <w:r w:rsidR="00C34B46">
                  <w:rPr>
                    <w:noProof/>
                    <w:webHidden/>
                  </w:rPr>
                  <w:t>6</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1.3 </w:t>
              </w:r>
              <w:hyperlink w:anchor="_Toc308691481" w:history="1">
                <w:r w:rsidRPr="003E1A0D">
                  <w:rPr>
                    <w:rStyle w:val="Hipervnculo"/>
                    <w:noProof/>
                    <w:color w:val="auto"/>
                    <w:u w:val="none"/>
                  </w:rPr>
                  <w:t>Metodología, dentro de la concepción de ciencia unificada</w:t>
                </w:r>
                <w:r w:rsidRPr="003E1A0D">
                  <w:rPr>
                    <w:noProof/>
                    <w:webHidden/>
                  </w:rPr>
                  <w:tab/>
                </w:r>
                <w:r w:rsidRPr="003E1A0D">
                  <w:rPr>
                    <w:noProof/>
                    <w:webHidden/>
                  </w:rPr>
                  <w:fldChar w:fldCharType="begin"/>
                </w:r>
                <w:r w:rsidRPr="003E1A0D">
                  <w:rPr>
                    <w:noProof/>
                    <w:webHidden/>
                  </w:rPr>
                  <w:instrText xml:space="preserve"> PAGEREF _Toc308691481 \h </w:instrText>
                </w:r>
                <w:r w:rsidRPr="003E1A0D">
                  <w:rPr>
                    <w:noProof/>
                    <w:webHidden/>
                  </w:rPr>
                </w:r>
                <w:r w:rsidRPr="003E1A0D">
                  <w:rPr>
                    <w:noProof/>
                    <w:webHidden/>
                  </w:rPr>
                  <w:fldChar w:fldCharType="separate"/>
                </w:r>
                <w:r w:rsidR="00C34B46">
                  <w:rPr>
                    <w:noProof/>
                    <w:webHidden/>
                  </w:rPr>
                  <w:t>10</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1.4 </w:t>
              </w:r>
              <w:hyperlink w:anchor="_Toc308691482" w:history="1">
                <w:r w:rsidRPr="003E1A0D">
                  <w:rPr>
                    <w:rStyle w:val="Hipervnculo"/>
                    <w:rFonts w:eastAsia="Calibri"/>
                    <w:noProof/>
                    <w:color w:val="auto"/>
                    <w:u w:val="none"/>
                    <w:lang w:val="es-ES"/>
                  </w:rPr>
                  <w:t>Metodología de la ciencia</w:t>
                </w:r>
                <w:r w:rsidRPr="003E1A0D">
                  <w:rPr>
                    <w:noProof/>
                    <w:webHidden/>
                  </w:rPr>
                  <w:tab/>
                </w:r>
                <w:r w:rsidRPr="003E1A0D">
                  <w:rPr>
                    <w:noProof/>
                    <w:webHidden/>
                  </w:rPr>
                  <w:fldChar w:fldCharType="begin"/>
                </w:r>
                <w:r w:rsidRPr="003E1A0D">
                  <w:rPr>
                    <w:noProof/>
                    <w:webHidden/>
                  </w:rPr>
                  <w:instrText xml:space="preserve"> PAGEREF _Toc308691482 \h </w:instrText>
                </w:r>
                <w:r w:rsidRPr="003E1A0D">
                  <w:rPr>
                    <w:noProof/>
                    <w:webHidden/>
                  </w:rPr>
                </w:r>
                <w:r w:rsidRPr="003E1A0D">
                  <w:rPr>
                    <w:noProof/>
                    <w:webHidden/>
                  </w:rPr>
                  <w:fldChar w:fldCharType="separate"/>
                </w:r>
                <w:r w:rsidR="00C34B46">
                  <w:rPr>
                    <w:noProof/>
                    <w:webHidden/>
                  </w:rPr>
                  <w:t>14</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1.5 </w:t>
              </w:r>
              <w:hyperlink w:anchor="_Toc308691483" w:history="1">
                <w:r w:rsidRPr="003E1A0D">
                  <w:rPr>
                    <w:rStyle w:val="Hipervnculo"/>
                    <w:noProof/>
                    <w:color w:val="auto"/>
                    <w:u w:val="none"/>
                  </w:rPr>
                  <w:t>La Maestría en Ciencias en Metodología de la Ciencia</w:t>
                </w:r>
                <w:r w:rsidRPr="003E1A0D">
                  <w:rPr>
                    <w:noProof/>
                    <w:webHidden/>
                  </w:rPr>
                  <w:tab/>
                </w:r>
                <w:r w:rsidRPr="003E1A0D">
                  <w:rPr>
                    <w:noProof/>
                    <w:webHidden/>
                  </w:rPr>
                  <w:fldChar w:fldCharType="begin"/>
                </w:r>
                <w:r w:rsidRPr="003E1A0D">
                  <w:rPr>
                    <w:noProof/>
                    <w:webHidden/>
                  </w:rPr>
                  <w:instrText xml:space="preserve"> PAGEREF _Toc308691483 \h </w:instrText>
                </w:r>
                <w:r w:rsidRPr="003E1A0D">
                  <w:rPr>
                    <w:noProof/>
                    <w:webHidden/>
                  </w:rPr>
                </w:r>
                <w:r w:rsidRPr="003E1A0D">
                  <w:rPr>
                    <w:noProof/>
                    <w:webHidden/>
                  </w:rPr>
                  <w:fldChar w:fldCharType="separate"/>
                </w:r>
                <w:r w:rsidR="00C34B46">
                  <w:rPr>
                    <w:noProof/>
                    <w:webHidden/>
                  </w:rPr>
                  <w:t>21</w:t>
                </w:r>
                <w:r w:rsidRPr="003E1A0D">
                  <w:rPr>
                    <w:noProof/>
                    <w:webHidden/>
                  </w:rPr>
                  <w:fldChar w:fldCharType="end"/>
                </w:r>
              </w:hyperlink>
            </w:p>
            <w:p w:rsidR="003E1A0D" w:rsidRPr="003E1A0D" w:rsidRDefault="003E1A0D" w:rsidP="003E1A0D">
              <w:pPr>
                <w:pStyle w:val="TDC1"/>
                <w:rPr>
                  <w:rStyle w:val="Hipervnculo"/>
                  <w:noProof/>
                  <w:color w:val="auto"/>
                  <w:u w:val="none"/>
                </w:rPr>
              </w:pPr>
            </w:p>
            <w:p w:rsidR="003E1A0D" w:rsidRPr="003E1A0D" w:rsidRDefault="003E1A0D" w:rsidP="003E1A0D">
              <w:pPr>
                <w:pStyle w:val="TDC1"/>
                <w:rPr>
                  <w:rStyle w:val="Hipervnculo"/>
                  <w:noProof/>
                  <w:color w:val="auto"/>
                  <w:u w:val="none"/>
                </w:rPr>
              </w:pPr>
              <w:r w:rsidRPr="003E1A0D">
                <w:rPr>
                  <w:rStyle w:val="Hipervnculo"/>
                  <w:noProof/>
                  <w:color w:val="auto"/>
                  <w:u w:val="none"/>
                </w:rPr>
                <w:t>Capítulo II</w:t>
              </w:r>
            </w:p>
            <w:p w:rsidR="003E1A0D" w:rsidRPr="003E1A0D" w:rsidRDefault="00EB760B" w:rsidP="003E1A0D">
              <w:pPr>
                <w:pStyle w:val="TDC1"/>
                <w:rPr>
                  <w:rFonts w:asciiTheme="minorHAnsi" w:eastAsiaTheme="minorEastAsia" w:hAnsiTheme="minorHAnsi"/>
                  <w:noProof/>
                  <w:sz w:val="22"/>
                  <w:lang w:eastAsia="es-MX"/>
                </w:rPr>
              </w:pPr>
              <w:hyperlink w:anchor="_Toc308691485" w:history="1">
                <w:r w:rsidR="003E1A0D" w:rsidRPr="003E1A0D">
                  <w:rPr>
                    <w:rStyle w:val="Hipervnculo"/>
                    <w:noProof/>
                    <w:color w:val="auto"/>
                    <w:u w:val="none"/>
                  </w:rPr>
                  <w:t>Instituto Politécnico Nacional (Nuevo Modelo Educativo)</w:t>
                </w:r>
                <w:r w:rsidR="003E1A0D" w:rsidRPr="003E1A0D">
                  <w:rPr>
                    <w:noProof/>
                    <w:webHidden/>
                  </w:rPr>
                  <w:tab/>
                </w:r>
                <w:r w:rsidR="003E1A0D" w:rsidRPr="003E1A0D">
                  <w:rPr>
                    <w:noProof/>
                    <w:webHidden/>
                  </w:rPr>
                  <w:fldChar w:fldCharType="begin"/>
                </w:r>
                <w:r w:rsidR="003E1A0D" w:rsidRPr="003E1A0D">
                  <w:rPr>
                    <w:noProof/>
                    <w:webHidden/>
                  </w:rPr>
                  <w:instrText xml:space="preserve"> PAGEREF _Toc308691485 \h </w:instrText>
                </w:r>
                <w:r w:rsidR="003E1A0D" w:rsidRPr="003E1A0D">
                  <w:rPr>
                    <w:noProof/>
                    <w:webHidden/>
                  </w:rPr>
                </w:r>
                <w:r w:rsidR="003E1A0D" w:rsidRPr="003E1A0D">
                  <w:rPr>
                    <w:noProof/>
                    <w:webHidden/>
                  </w:rPr>
                  <w:fldChar w:fldCharType="separate"/>
                </w:r>
                <w:r w:rsidR="00C34B46">
                  <w:rPr>
                    <w:noProof/>
                    <w:webHidden/>
                  </w:rPr>
                  <w:t>47</w:t>
                </w:r>
                <w:r w:rsidR="003E1A0D"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2.1 </w:t>
              </w:r>
              <w:hyperlink w:anchor="_Toc308691486" w:history="1">
                <w:r w:rsidRPr="003E1A0D">
                  <w:rPr>
                    <w:rStyle w:val="Hipervnculo"/>
                    <w:noProof/>
                    <w:color w:val="auto"/>
                    <w:u w:val="none"/>
                  </w:rPr>
                  <w:t>Proceso de la Reforma Académica</w:t>
                </w:r>
                <w:r w:rsidRPr="003E1A0D">
                  <w:rPr>
                    <w:noProof/>
                    <w:webHidden/>
                  </w:rPr>
                  <w:tab/>
                </w:r>
                <w:r w:rsidRPr="003E1A0D">
                  <w:rPr>
                    <w:noProof/>
                    <w:webHidden/>
                  </w:rPr>
                  <w:fldChar w:fldCharType="begin"/>
                </w:r>
                <w:r w:rsidRPr="003E1A0D">
                  <w:rPr>
                    <w:noProof/>
                    <w:webHidden/>
                  </w:rPr>
                  <w:instrText xml:space="preserve"> PAGEREF _Toc308691486 \h </w:instrText>
                </w:r>
                <w:r w:rsidRPr="003E1A0D">
                  <w:rPr>
                    <w:noProof/>
                    <w:webHidden/>
                  </w:rPr>
                </w:r>
                <w:r w:rsidRPr="003E1A0D">
                  <w:rPr>
                    <w:noProof/>
                    <w:webHidden/>
                  </w:rPr>
                  <w:fldChar w:fldCharType="separate"/>
                </w:r>
                <w:r w:rsidR="00C34B46">
                  <w:rPr>
                    <w:noProof/>
                    <w:webHidden/>
                  </w:rPr>
                  <w:t>50</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2.2 </w:t>
              </w:r>
              <w:hyperlink w:anchor="_Toc308691487" w:history="1">
                <w:r w:rsidRPr="003E1A0D">
                  <w:rPr>
                    <w:rStyle w:val="Hipervnculo"/>
                    <w:noProof/>
                    <w:color w:val="auto"/>
                    <w:u w:val="none"/>
                  </w:rPr>
                  <w:t>Modelo Educativo</w:t>
                </w:r>
                <w:r w:rsidRPr="003E1A0D">
                  <w:rPr>
                    <w:noProof/>
                    <w:webHidden/>
                  </w:rPr>
                  <w:tab/>
                </w:r>
                <w:r w:rsidRPr="003E1A0D">
                  <w:rPr>
                    <w:noProof/>
                    <w:webHidden/>
                  </w:rPr>
                  <w:fldChar w:fldCharType="begin"/>
                </w:r>
                <w:r w:rsidRPr="003E1A0D">
                  <w:rPr>
                    <w:noProof/>
                    <w:webHidden/>
                  </w:rPr>
                  <w:instrText xml:space="preserve"> PAGEREF _Toc308691487 \h </w:instrText>
                </w:r>
                <w:r w:rsidRPr="003E1A0D">
                  <w:rPr>
                    <w:noProof/>
                    <w:webHidden/>
                  </w:rPr>
                </w:r>
                <w:r w:rsidRPr="003E1A0D">
                  <w:rPr>
                    <w:noProof/>
                    <w:webHidden/>
                  </w:rPr>
                  <w:fldChar w:fldCharType="separate"/>
                </w:r>
                <w:r w:rsidR="00C34B46">
                  <w:rPr>
                    <w:noProof/>
                    <w:webHidden/>
                  </w:rPr>
                  <w:t>51</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2.3 </w:t>
              </w:r>
              <w:hyperlink w:anchor="_Toc308691488" w:history="1">
                <w:r w:rsidRPr="003E1A0D">
                  <w:rPr>
                    <w:rStyle w:val="Hipervnculo"/>
                    <w:noProof/>
                    <w:color w:val="auto"/>
                    <w:u w:val="none"/>
                  </w:rPr>
                  <w:t>Programa Estratégico de Investigación y Posgrado</w:t>
                </w:r>
                <w:r w:rsidRPr="003E1A0D">
                  <w:rPr>
                    <w:noProof/>
                    <w:webHidden/>
                  </w:rPr>
                  <w:tab/>
                </w:r>
                <w:r w:rsidRPr="003E1A0D">
                  <w:rPr>
                    <w:noProof/>
                    <w:webHidden/>
                  </w:rPr>
                  <w:fldChar w:fldCharType="begin"/>
                </w:r>
                <w:r w:rsidRPr="003E1A0D">
                  <w:rPr>
                    <w:noProof/>
                    <w:webHidden/>
                  </w:rPr>
                  <w:instrText xml:space="preserve"> PAGEREF _Toc308691488 \h </w:instrText>
                </w:r>
                <w:r w:rsidRPr="003E1A0D">
                  <w:rPr>
                    <w:noProof/>
                    <w:webHidden/>
                  </w:rPr>
                </w:r>
                <w:r w:rsidRPr="003E1A0D">
                  <w:rPr>
                    <w:noProof/>
                    <w:webHidden/>
                  </w:rPr>
                  <w:fldChar w:fldCharType="separate"/>
                </w:r>
                <w:r w:rsidR="00C34B46">
                  <w:rPr>
                    <w:noProof/>
                    <w:webHidden/>
                  </w:rPr>
                  <w:t>57</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2.4 </w:t>
              </w:r>
              <w:hyperlink w:anchor="_Toc308691489" w:history="1">
                <w:r w:rsidRPr="003E1A0D">
                  <w:rPr>
                    <w:rStyle w:val="Hipervnculo"/>
                    <w:noProof/>
                    <w:color w:val="auto"/>
                    <w:u w:val="none"/>
                  </w:rPr>
                  <w:t>Modelo de Investigación y Posgrado</w:t>
                </w:r>
                <w:r w:rsidRPr="003E1A0D">
                  <w:rPr>
                    <w:noProof/>
                    <w:webHidden/>
                  </w:rPr>
                  <w:tab/>
                </w:r>
                <w:r w:rsidRPr="003E1A0D">
                  <w:rPr>
                    <w:noProof/>
                    <w:webHidden/>
                  </w:rPr>
                  <w:fldChar w:fldCharType="begin"/>
                </w:r>
                <w:r w:rsidRPr="003E1A0D">
                  <w:rPr>
                    <w:noProof/>
                    <w:webHidden/>
                  </w:rPr>
                  <w:instrText xml:space="preserve"> PAGEREF _Toc308691489 \h </w:instrText>
                </w:r>
                <w:r w:rsidRPr="003E1A0D">
                  <w:rPr>
                    <w:noProof/>
                    <w:webHidden/>
                  </w:rPr>
                </w:r>
                <w:r w:rsidRPr="003E1A0D">
                  <w:rPr>
                    <w:noProof/>
                    <w:webHidden/>
                  </w:rPr>
                  <w:fldChar w:fldCharType="separate"/>
                </w:r>
                <w:r w:rsidR="00C34B46">
                  <w:rPr>
                    <w:noProof/>
                    <w:webHidden/>
                  </w:rPr>
                  <w:t>62</w:t>
                </w:r>
                <w:r w:rsidRPr="003E1A0D">
                  <w:rPr>
                    <w:noProof/>
                    <w:webHidden/>
                  </w:rPr>
                  <w:fldChar w:fldCharType="end"/>
                </w:r>
              </w:hyperlink>
            </w:p>
            <w:p w:rsidR="003E1A0D" w:rsidRPr="003E1A0D" w:rsidRDefault="003E1A0D" w:rsidP="003E1A0D">
              <w:pPr>
                <w:pStyle w:val="TDC1"/>
                <w:rPr>
                  <w:rStyle w:val="Hipervnculo"/>
                  <w:noProof/>
                  <w:color w:val="auto"/>
                  <w:u w:val="none"/>
                </w:rPr>
              </w:pPr>
            </w:p>
            <w:p w:rsidR="003E1A0D" w:rsidRPr="003E1A0D" w:rsidRDefault="003E1A0D" w:rsidP="003E1A0D">
              <w:pPr>
                <w:pStyle w:val="TDC1"/>
                <w:rPr>
                  <w:rStyle w:val="Hipervnculo"/>
                  <w:noProof/>
                  <w:color w:val="auto"/>
                  <w:u w:val="none"/>
                </w:rPr>
              </w:pPr>
              <w:r w:rsidRPr="003E1A0D">
                <w:rPr>
                  <w:rStyle w:val="Hipervnculo"/>
                  <w:noProof/>
                  <w:color w:val="auto"/>
                  <w:u w:val="none"/>
                </w:rPr>
                <w:t>Capítulo III</w:t>
              </w:r>
            </w:p>
            <w:p w:rsidR="003E1A0D" w:rsidRPr="003E1A0D" w:rsidRDefault="00EB760B" w:rsidP="003E1A0D">
              <w:pPr>
                <w:pStyle w:val="TDC1"/>
                <w:rPr>
                  <w:rFonts w:asciiTheme="minorHAnsi" w:eastAsiaTheme="minorEastAsia" w:hAnsiTheme="minorHAnsi"/>
                  <w:noProof/>
                  <w:sz w:val="22"/>
                  <w:lang w:eastAsia="es-MX"/>
                </w:rPr>
              </w:pPr>
              <w:hyperlink w:anchor="_Toc308691490" w:history="1">
                <w:r w:rsidR="003E1A0D" w:rsidRPr="003E1A0D">
                  <w:rPr>
                    <w:rStyle w:val="Hipervnculo"/>
                    <w:noProof/>
                    <w:color w:val="auto"/>
                    <w:u w:val="none"/>
                  </w:rPr>
                  <w:t>Consejo Nacional de Ciencia y Tecnología</w:t>
                </w:r>
                <w:r w:rsidR="003E1A0D" w:rsidRPr="003E1A0D">
                  <w:rPr>
                    <w:noProof/>
                    <w:webHidden/>
                  </w:rPr>
                  <w:tab/>
                </w:r>
                <w:r w:rsidR="003E1A0D" w:rsidRPr="003E1A0D">
                  <w:rPr>
                    <w:noProof/>
                    <w:webHidden/>
                  </w:rPr>
                  <w:fldChar w:fldCharType="begin"/>
                </w:r>
                <w:r w:rsidR="003E1A0D" w:rsidRPr="003E1A0D">
                  <w:rPr>
                    <w:noProof/>
                    <w:webHidden/>
                  </w:rPr>
                  <w:instrText xml:space="preserve"> PAGEREF _Toc308691490 \h </w:instrText>
                </w:r>
                <w:r w:rsidR="003E1A0D" w:rsidRPr="003E1A0D">
                  <w:rPr>
                    <w:noProof/>
                    <w:webHidden/>
                  </w:rPr>
                </w:r>
                <w:r w:rsidR="003E1A0D" w:rsidRPr="003E1A0D">
                  <w:rPr>
                    <w:noProof/>
                    <w:webHidden/>
                  </w:rPr>
                  <w:fldChar w:fldCharType="separate"/>
                </w:r>
                <w:r w:rsidR="00C34B46">
                  <w:rPr>
                    <w:noProof/>
                    <w:webHidden/>
                  </w:rPr>
                  <w:t>68</w:t>
                </w:r>
                <w:r w:rsidR="003E1A0D"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3.1 </w:t>
              </w:r>
              <w:hyperlink w:anchor="_Toc308691491" w:history="1">
                <w:r w:rsidRPr="003E1A0D">
                  <w:rPr>
                    <w:rStyle w:val="Hipervnculo"/>
                    <w:noProof/>
                    <w:color w:val="auto"/>
                    <w:u w:val="none"/>
                  </w:rPr>
                  <w:t>Antecedentes de las evaluaciones a los programas de posgrado</w:t>
                </w:r>
                <w:r w:rsidRPr="003E1A0D">
                  <w:rPr>
                    <w:noProof/>
                    <w:webHidden/>
                  </w:rPr>
                  <w:tab/>
                </w:r>
                <w:r w:rsidRPr="003E1A0D">
                  <w:rPr>
                    <w:noProof/>
                    <w:webHidden/>
                  </w:rPr>
                  <w:fldChar w:fldCharType="begin"/>
                </w:r>
                <w:r w:rsidRPr="003E1A0D">
                  <w:rPr>
                    <w:noProof/>
                    <w:webHidden/>
                  </w:rPr>
                  <w:instrText xml:space="preserve"> PAGEREF _Toc308691491 \h </w:instrText>
                </w:r>
                <w:r w:rsidRPr="003E1A0D">
                  <w:rPr>
                    <w:noProof/>
                    <w:webHidden/>
                  </w:rPr>
                </w:r>
                <w:r w:rsidRPr="003E1A0D">
                  <w:rPr>
                    <w:noProof/>
                    <w:webHidden/>
                  </w:rPr>
                  <w:fldChar w:fldCharType="separate"/>
                </w:r>
                <w:r w:rsidR="00C34B46">
                  <w:rPr>
                    <w:noProof/>
                    <w:webHidden/>
                  </w:rPr>
                  <w:t>70</w:t>
                </w:r>
                <w:r w:rsidRPr="003E1A0D">
                  <w:rPr>
                    <w:noProof/>
                    <w:webHidden/>
                  </w:rPr>
                  <w:fldChar w:fldCharType="end"/>
                </w:r>
              </w:hyperlink>
            </w:p>
            <w:p w:rsidR="003E1A0D" w:rsidRP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lastRenderedPageBreak/>
                <w:t xml:space="preserve">3.2 </w:t>
              </w:r>
              <w:hyperlink w:anchor="_Toc308691492" w:history="1">
                <w:r w:rsidRPr="003E1A0D">
                  <w:rPr>
                    <w:rStyle w:val="Hipervnculo"/>
                    <w:noProof/>
                    <w:color w:val="auto"/>
                    <w:u w:val="none"/>
                  </w:rPr>
                  <w:t>Programa Nacional de Posgrados de Calidad</w:t>
                </w:r>
                <w:r w:rsidRPr="003E1A0D">
                  <w:rPr>
                    <w:noProof/>
                    <w:webHidden/>
                  </w:rPr>
                  <w:tab/>
                </w:r>
                <w:r w:rsidRPr="003E1A0D">
                  <w:rPr>
                    <w:noProof/>
                    <w:webHidden/>
                  </w:rPr>
                  <w:fldChar w:fldCharType="begin"/>
                </w:r>
                <w:r w:rsidRPr="003E1A0D">
                  <w:rPr>
                    <w:noProof/>
                    <w:webHidden/>
                  </w:rPr>
                  <w:instrText xml:space="preserve"> PAGEREF _Toc308691492 \h </w:instrText>
                </w:r>
                <w:r w:rsidRPr="003E1A0D">
                  <w:rPr>
                    <w:noProof/>
                    <w:webHidden/>
                  </w:rPr>
                </w:r>
                <w:r w:rsidRPr="003E1A0D">
                  <w:rPr>
                    <w:noProof/>
                    <w:webHidden/>
                  </w:rPr>
                  <w:fldChar w:fldCharType="separate"/>
                </w:r>
                <w:r w:rsidR="00C34B46">
                  <w:rPr>
                    <w:noProof/>
                    <w:webHidden/>
                  </w:rPr>
                  <w:t>76</w:t>
                </w:r>
                <w:r w:rsidRPr="003E1A0D">
                  <w:rPr>
                    <w:noProof/>
                    <w:webHidden/>
                  </w:rPr>
                  <w:fldChar w:fldCharType="end"/>
                </w:r>
              </w:hyperlink>
            </w:p>
            <w:p w:rsidR="003E1A0D" w:rsidRPr="003E1A0D" w:rsidRDefault="003E1A0D">
              <w:pPr>
                <w:pStyle w:val="TDC3"/>
                <w:rPr>
                  <w:rFonts w:asciiTheme="minorHAnsi" w:eastAsiaTheme="minorEastAsia" w:hAnsiTheme="minorHAnsi"/>
                  <w:sz w:val="22"/>
                  <w:lang w:eastAsia="es-MX"/>
                </w:rPr>
              </w:pPr>
              <w:r w:rsidRPr="003E1A0D">
                <w:rPr>
                  <w:rStyle w:val="Hipervnculo"/>
                  <w:color w:val="auto"/>
                  <w:u w:val="none"/>
                </w:rPr>
                <w:t xml:space="preserve">3.2.1 </w:t>
              </w:r>
              <w:hyperlink w:anchor="_Toc308691493" w:history="1">
                <w:r w:rsidRPr="003E1A0D">
                  <w:rPr>
                    <w:rStyle w:val="Hipervnculo"/>
                    <w:color w:val="auto"/>
                    <w:u w:val="none"/>
                  </w:rPr>
                  <w:t>Programas con Orientación Profesional.</w:t>
                </w:r>
                <w:r w:rsidRPr="003E1A0D">
                  <w:rPr>
                    <w:webHidden/>
                  </w:rPr>
                  <w:tab/>
                </w:r>
                <w:r w:rsidRPr="003E1A0D">
                  <w:rPr>
                    <w:webHidden/>
                  </w:rPr>
                  <w:fldChar w:fldCharType="begin"/>
                </w:r>
                <w:r w:rsidRPr="003E1A0D">
                  <w:rPr>
                    <w:webHidden/>
                  </w:rPr>
                  <w:instrText xml:space="preserve"> PAGEREF _Toc308691493 \h </w:instrText>
                </w:r>
                <w:r w:rsidRPr="003E1A0D">
                  <w:rPr>
                    <w:webHidden/>
                  </w:rPr>
                </w:r>
                <w:r w:rsidRPr="003E1A0D">
                  <w:rPr>
                    <w:webHidden/>
                  </w:rPr>
                  <w:fldChar w:fldCharType="separate"/>
                </w:r>
                <w:r w:rsidR="00C34B46">
                  <w:rPr>
                    <w:webHidden/>
                  </w:rPr>
                  <w:t>84</w:t>
                </w:r>
                <w:r w:rsidRPr="003E1A0D">
                  <w:rPr>
                    <w:webHidden/>
                  </w:rPr>
                  <w:fldChar w:fldCharType="end"/>
                </w:r>
              </w:hyperlink>
            </w:p>
            <w:p w:rsidR="003E1A0D" w:rsidRPr="003E1A0D" w:rsidRDefault="003E1A0D">
              <w:pPr>
                <w:pStyle w:val="TDC3"/>
                <w:rPr>
                  <w:rFonts w:asciiTheme="minorHAnsi" w:eastAsiaTheme="minorEastAsia" w:hAnsiTheme="minorHAnsi"/>
                  <w:sz w:val="22"/>
                  <w:lang w:eastAsia="es-MX"/>
                </w:rPr>
              </w:pPr>
              <w:r w:rsidRPr="003E1A0D">
                <w:rPr>
                  <w:rStyle w:val="Hipervnculo"/>
                  <w:color w:val="auto"/>
                  <w:u w:val="none"/>
                </w:rPr>
                <w:t xml:space="preserve">3.2.2 </w:t>
              </w:r>
              <w:hyperlink w:anchor="_Toc308691494" w:history="1">
                <w:r w:rsidRPr="003E1A0D">
                  <w:rPr>
                    <w:rStyle w:val="Hipervnculo"/>
                    <w:color w:val="auto"/>
                    <w:u w:val="none"/>
                    <w:lang w:eastAsia="es-ES"/>
                  </w:rPr>
                  <w:t>Programas con Orientación a la Investigación</w:t>
                </w:r>
                <w:r w:rsidRPr="003E1A0D">
                  <w:rPr>
                    <w:webHidden/>
                  </w:rPr>
                  <w:tab/>
                </w:r>
                <w:r w:rsidRPr="003E1A0D">
                  <w:rPr>
                    <w:webHidden/>
                  </w:rPr>
                  <w:fldChar w:fldCharType="begin"/>
                </w:r>
                <w:r w:rsidRPr="003E1A0D">
                  <w:rPr>
                    <w:webHidden/>
                  </w:rPr>
                  <w:instrText xml:space="preserve"> PAGEREF _Toc308691494 \h </w:instrText>
                </w:r>
                <w:r w:rsidRPr="003E1A0D">
                  <w:rPr>
                    <w:webHidden/>
                  </w:rPr>
                </w:r>
                <w:r w:rsidRPr="003E1A0D">
                  <w:rPr>
                    <w:webHidden/>
                  </w:rPr>
                  <w:fldChar w:fldCharType="separate"/>
                </w:r>
                <w:r w:rsidR="00C34B46">
                  <w:rPr>
                    <w:webHidden/>
                  </w:rPr>
                  <w:t>87</w:t>
                </w:r>
                <w:r w:rsidRPr="003E1A0D">
                  <w:rPr>
                    <w:webHidden/>
                  </w:rPr>
                  <w:fldChar w:fldCharType="end"/>
                </w:r>
              </w:hyperlink>
            </w:p>
            <w:p w:rsidR="003E1A0D" w:rsidRDefault="003E1A0D">
              <w:pPr>
                <w:pStyle w:val="TDC2"/>
                <w:rPr>
                  <w:rFonts w:asciiTheme="minorHAnsi" w:eastAsiaTheme="minorEastAsia" w:hAnsiTheme="minorHAnsi"/>
                  <w:noProof/>
                  <w:sz w:val="22"/>
                  <w:lang w:eastAsia="es-MX"/>
                </w:rPr>
              </w:pPr>
              <w:r w:rsidRPr="003E1A0D">
                <w:rPr>
                  <w:rStyle w:val="Hipervnculo"/>
                  <w:noProof/>
                  <w:color w:val="auto"/>
                  <w:u w:val="none"/>
                </w:rPr>
                <w:t xml:space="preserve">3.3 </w:t>
              </w:r>
              <w:hyperlink w:anchor="_Toc308691495" w:history="1">
                <w:r w:rsidRPr="003E1A0D">
                  <w:rPr>
                    <w:rStyle w:val="Hipervnculo"/>
                    <w:noProof/>
                    <w:color w:val="auto"/>
                    <w:u w:val="none"/>
                  </w:rPr>
                  <w:t>Proceso de evaluación para la incorporación de Programas al PNP.</w:t>
                </w:r>
                <w:r w:rsidRPr="003E1A0D">
                  <w:rPr>
                    <w:noProof/>
                    <w:webHidden/>
                  </w:rPr>
                  <w:tab/>
                </w:r>
                <w:r w:rsidRPr="003E1A0D">
                  <w:rPr>
                    <w:noProof/>
                    <w:webHidden/>
                  </w:rPr>
                  <w:fldChar w:fldCharType="begin"/>
                </w:r>
                <w:r w:rsidRPr="003E1A0D">
                  <w:rPr>
                    <w:noProof/>
                    <w:webHidden/>
                  </w:rPr>
                  <w:instrText xml:space="preserve"> PAGEREF _Toc308691495 \h </w:instrText>
                </w:r>
                <w:r w:rsidRPr="003E1A0D">
                  <w:rPr>
                    <w:noProof/>
                    <w:webHidden/>
                  </w:rPr>
                </w:r>
                <w:r w:rsidRPr="003E1A0D">
                  <w:rPr>
                    <w:noProof/>
                    <w:webHidden/>
                  </w:rPr>
                  <w:fldChar w:fldCharType="separate"/>
                </w:r>
                <w:r w:rsidR="00C34B46">
                  <w:rPr>
                    <w:noProof/>
                    <w:webHidden/>
                  </w:rPr>
                  <w:t>92</w:t>
                </w:r>
                <w:r w:rsidRPr="003E1A0D">
                  <w:rPr>
                    <w:noProof/>
                    <w:webHidden/>
                  </w:rPr>
                  <w:fldChar w:fldCharType="end"/>
                </w:r>
              </w:hyperlink>
            </w:p>
            <w:p w:rsidR="003E1A0D" w:rsidRDefault="003E1A0D" w:rsidP="003E1A0D">
              <w:pPr>
                <w:pStyle w:val="TDC1"/>
                <w:rPr>
                  <w:rStyle w:val="Hipervnculo"/>
                  <w:noProof/>
                </w:rPr>
              </w:pPr>
            </w:p>
            <w:p w:rsidR="003E1A0D" w:rsidRDefault="00EB760B" w:rsidP="003E1A0D">
              <w:pPr>
                <w:pStyle w:val="TDC1"/>
                <w:jc w:val="both"/>
                <w:rPr>
                  <w:rFonts w:asciiTheme="minorHAnsi" w:eastAsiaTheme="minorEastAsia" w:hAnsiTheme="minorHAnsi"/>
                  <w:noProof/>
                  <w:sz w:val="22"/>
                  <w:lang w:eastAsia="es-MX"/>
                </w:rPr>
              </w:pPr>
              <w:hyperlink w:anchor="_Toc308691496" w:history="1">
                <w:r w:rsidR="003E1A0D" w:rsidRPr="00F00B14">
                  <w:rPr>
                    <w:rStyle w:val="Hipervnculo"/>
                    <w:noProof/>
                  </w:rPr>
                  <w:t>Conclusiones</w:t>
                </w:r>
                <w:r w:rsidR="003E1A0D">
                  <w:rPr>
                    <w:noProof/>
                    <w:webHidden/>
                  </w:rPr>
                  <w:tab/>
                </w:r>
                <w:r w:rsidR="003E1A0D">
                  <w:rPr>
                    <w:noProof/>
                    <w:webHidden/>
                  </w:rPr>
                  <w:fldChar w:fldCharType="begin"/>
                </w:r>
                <w:r w:rsidR="003E1A0D">
                  <w:rPr>
                    <w:noProof/>
                    <w:webHidden/>
                  </w:rPr>
                  <w:instrText xml:space="preserve"> PAGEREF _Toc308691496 \h </w:instrText>
                </w:r>
                <w:r w:rsidR="003E1A0D">
                  <w:rPr>
                    <w:noProof/>
                    <w:webHidden/>
                  </w:rPr>
                </w:r>
                <w:r w:rsidR="003E1A0D">
                  <w:rPr>
                    <w:noProof/>
                    <w:webHidden/>
                  </w:rPr>
                  <w:fldChar w:fldCharType="separate"/>
                </w:r>
                <w:r w:rsidR="00C34B46">
                  <w:rPr>
                    <w:noProof/>
                    <w:webHidden/>
                  </w:rPr>
                  <w:t>108</w:t>
                </w:r>
                <w:r w:rsidR="003E1A0D">
                  <w:rPr>
                    <w:noProof/>
                    <w:webHidden/>
                  </w:rPr>
                  <w:fldChar w:fldCharType="end"/>
                </w:r>
              </w:hyperlink>
            </w:p>
            <w:p w:rsidR="003E1A0D" w:rsidRDefault="003E1A0D" w:rsidP="003E1A0D">
              <w:pPr>
                <w:pStyle w:val="TDC1"/>
                <w:jc w:val="both"/>
                <w:rPr>
                  <w:rStyle w:val="Hipervnculo"/>
                  <w:noProof/>
                </w:rPr>
              </w:pPr>
            </w:p>
            <w:p w:rsidR="003E1A0D" w:rsidRDefault="00EB760B" w:rsidP="003E1A0D">
              <w:pPr>
                <w:pStyle w:val="TDC1"/>
                <w:jc w:val="both"/>
                <w:rPr>
                  <w:rFonts w:asciiTheme="minorHAnsi" w:eastAsiaTheme="minorEastAsia" w:hAnsiTheme="minorHAnsi"/>
                  <w:noProof/>
                  <w:sz w:val="22"/>
                  <w:lang w:eastAsia="es-MX"/>
                </w:rPr>
              </w:pPr>
              <w:hyperlink w:anchor="_Toc308691497" w:history="1">
                <w:r w:rsidR="003E1A0D" w:rsidRPr="00F00B14">
                  <w:rPr>
                    <w:rStyle w:val="Hipervnculo"/>
                    <w:noProof/>
                  </w:rPr>
                  <w:t>Anexo 1. Evaluación externa a la MCMC por Ledesma y Arellano</w:t>
                </w:r>
                <w:r w:rsidR="003E1A0D">
                  <w:rPr>
                    <w:noProof/>
                    <w:webHidden/>
                  </w:rPr>
                  <w:tab/>
                </w:r>
                <w:r w:rsidR="003E1A0D">
                  <w:rPr>
                    <w:noProof/>
                    <w:webHidden/>
                  </w:rPr>
                  <w:fldChar w:fldCharType="begin"/>
                </w:r>
                <w:r w:rsidR="003E1A0D">
                  <w:rPr>
                    <w:noProof/>
                    <w:webHidden/>
                  </w:rPr>
                  <w:instrText xml:space="preserve"> PAGEREF _Toc308691497 \h </w:instrText>
                </w:r>
                <w:r w:rsidR="003E1A0D">
                  <w:rPr>
                    <w:noProof/>
                    <w:webHidden/>
                  </w:rPr>
                </w:r>
                <w:r w:rsidR="003E1A0D">
                  <w:rPr>
                    <w:noProof/>
                    <w:webHidden/>
                  </w:rPr>
                  <w:fldChar w:fldCharType="separate"/>
                </w:r>
                <w:r w:rsidR="00C34B46">
                  <w:rPr>
                    <w:noProof/>
                    <w:webHidden/>
                  </w:rPr>
                  <w:t>116</w:t>
                </w:r>
                <w:r w:rsidR="003E1A0D">
                  <w:rPr>
                    <w:noProof/>
                    <w:webHidden/>
                  </w:rPr>
                  <w:fldChar w:fldCharType="end"/>
                </w:r>
              </w:hyperlink>
            </w:p>
            <w:p w:rsidR="003E1A0D" w:rsidRDefault="003E1A0D" w:rsidP="003E1A0D">
              <w:pPr>
                <w:pStyle w:val="TDC1"/>
                <w:rPr>
                  <w:rStyle w:val="Hipervnculo"/>
                  <w:noProof/>
                </w:rPr>
              </w:pPr>
            </w:p>
            <w:p w:rsidR="003E1A0D" w:rsidRDefault="00EB760B" w:rsidP="003E1A0D">
              <w:pPr>
                <w:pStyle w:val="TDC1"/>
                <w:jc w:val="both"/>
                <w:rPr>
                  <w:rFonts w:asciiTheme="minorHAnsi" w:eastAsiaTheme="minorEastAsia" w:hAnsiTheme="minorHAnsi"/>
                  <w:noProof/>
                  <w:sz w:val="22"/>
                  <w:lang w:eastAsia="es-MX"/>
                </w:rPr>
              </w:pPr>
              <w:hyperlink w:anchor="_Toc308691498" w:history="1">
                <w:r w:rsidR="003E1A0D" w:rsidRPr="00F00B14">
                  <w:rPr>
                    <w:rStyle w:val="Hipervnculo"/>
                    <w:noProof/>
                  </w:rPr>
                  <w:t>Referencias</w:t>
                </w:r>
                <w:r w:rsidR="003E1A0D">
                  <w:rPr>
                    <w:noProof/>
                    <w:webHidden/>
                  </w:rPr>
                  <w:tab/>
                </w:r>
                <w:r w:rsidR="003E1A0D">
                  <w:rPr>
                    <w:noProof/>
                    <w:webHidden/>
                  </w:rPr>
                  <w:fldChar w:fldCharType="begin"/>
                </w:r>
                <w:r w:rsidR="003E1A0D">
                  <w:rPr>
                    <w:noProof/>
                    <w:webHidden/>
                  </w:rPr>
                  <w:instrText xml:space="preserve"> PAGEREF _Toc308691498 \h </w:instrText>
                </w:r>
                <w:r w:rsidR="003E1A0D">
                  <w:rPr>
                    <w:noProof/>
                    <w:webHidden/>
                  </w:rPr>
                </w:r>
                <w:r w:rsidR="003E1A0D">
                  <w:rPr>
                    <w:noProof/>
                    <w:webHidden/>
                  </w:rPr>
                  <w:fldChar w:fldCharType="separate"/>
                </w:r>
                <w:r w:rsidR="00C34B46">
                  <w:rPr>
                    <w:noProof/>
                    <w:webHidden/>
                  </w:rPr>
                  <w:t>126</w:t>
                </w:r>
                <w:r w:rsidR="003E1A0D">
                  <w:rPr>
                    <w:noProof/>
                    <w:webHidden/>
                  </w:rPr>
                  <w:fldChar w:fldCharType="end"/>
                </w:r>
              </w:hyperlink>
            </w:p>
            <w:p w:rsidR="000B1204" w:rsidRDefault="000B1204" w:rsidP="000B1204">
              <w:r w:rsidRPr="003766FA">
                <w:fldChar w:fldCharType="end"/>
              </w:r>
            </w:p>
          </w:sdtContent>
        </w:sdt>
        <w:p w:rsidR="00751A71" w:rsidRPr="003766FA" w:rsidRDefault="00EB760B" w:rsidP="000B1204">
          <w:pPr>
            <w:pStyle w:val="TtulodeTDC"/>
            <w:spacing w:line="360" w:lineRule="auto"/>
            <w:jc w:val="center"/>
          </w:pPr>
        </w:p>
      </w:sdtContent>
    </w:sdt>
    <w:p w:rsidR="00751A71" w:rsidRPr="00AA0575" w:rsidRDefault="00751A71" w:rsidP="00E16642">
      <w:pPr>
        <w:spacing w:after="200"/>
        <w:jc w:val="left"/>
        <w:rPr>
          <w:rFonts w:eastAsiaTheme="majorEastAsia" w:cstheme="majorBidi"/>
          <w:b/>
          <w:bCs/>
          <w:szCs w:val="28"/>
        </w:rPr>
      </w:pPr>
      <w:r w:rsidRPr="00AA0575">
        <w:br w:type="page"/>
      </w:r>
    </w:p>
    <w:p w:rsidR="004A3831" w:rsidRPr="00AA0575" w:rsidRDefault="004A3831" w:rsidP="00E16642">
      <w:pPr>
        <w:pStyle w:val="Ttulo1"/>
        <w:sectPr w:rsidR="004A3831" w:rsidRPr="00AA0575" w:rsidSect="00964E09">
          <w:footerReference w:type="default" r:id="rId13"/>
          <w:footerReference w:type="first" r:id="rId14"/>
          <w:pgSz w:w="12240" w:h="15840" w:code="1"/>
          <w:pgMar w:top="1417" w:right="1701" w:bottom="1417" w:left="1701" w:header="709" w:footer="709" w:gutter="0"/>
          <w:pgNumType w:fmt="lowerRoman"/>
          <w:cols w:space="708"/>
          <w:titlePg/>
          <w:docGrid w:linePitch="360"/>
        </w:sectPr>
      </w:pPr>
    </w:p>
    <w:p w:rsidR="00FA0F4B" w:rsidRDefault="00843D5F" w:rsidP="00E16642">
      <w:pPr>
        <w:pStyle w:val="Ttulo1"/>
      </w:pPr>
      <w:bookmarkStart w:id="7" w:name="_Toc308691475"/>
      <w:r w:rsidRPr="00AA0575">
        <w:lastRenderedPageBreak/>
        <w:t>Resumen</w:t>
      </w:r>
      <w:bookmarkEnd w:id="7"/>
    </w:p>
    <w:p w:rsidR="00FA0F4B" w:rsidRDefault="00FA0F4B" w:rsidP="00E16642"/>
    <w:p w:rsidR="00AE18AA" w:rsidRDefault="00FA0F4B" w:rsidP="00E16642">
      <w:r>
        <w:t>El posgrado en Metodología de la Ciencia, con una trayectoria de más de 25 años dentro del IPN, se encuentra ahora en una nueva etapa</w:t>
      </w:r>
      <w:r w:rsidR="00AE18AA">
        <w:t>. E</w:t>
      </w:r>
      <w:r>
        <w:t>l rediseño</w:t>
      </w:r>
      <w:r w:rsidR="00AE18AA">
        <w:t xml:space="preserve"> de los objetivos del programa y del plan de estudios ha sido</w:t>
      </w:r>
      <w:r>
        <w:t xml:space="preserve"> imp</w:t>
      </w:r>
      <w:r w:rsidR="009373A8">
        <w:t>ulsado por debates, cambios de s</w:t>
      </w:r>
      <w:r>
        <w:t>ede, cierres parciales, participación de diferentes actores</w:t>
      </w:r>
      <w:r w:rsidR="00AE18AA">
        <w:t>, evaluaciones internas y externas</w:t>
      </w:r>
      <w:r w:rsidR="00DA514D">
        <w:t>,</w:t>
      </w:r>
      <w:r w:rsidR="00AE18AA">
        <w:t xml:space="preserve"> y el ánimo de los investigadores-profesores preocupados por la formación de científicos de la metodología de las ciencias. </w:t>
      </w:r>
    </w:p>
    <w:p w:rsidR="00AE18AA" w:rsidRDefault="00AE18AA" w:rsidP="00E16642"/>
    <w:p w:rsidR="00AE18AA" w:rsidRDefault="00AE18AA" w:rsidP="00E16642">
      <w:r>
        <w:t>Como parte del IPN, participa también en los programas derivados de la Reforma Académica</w:t>
      </w:r>
      <w:r w:rsidR="00DA514D">
        <w:t>,</w:t>
      </w:r>
      <w:r>
        <w:t xml:space="preserve"> a partir de la cual se ha propuesto el Modelo Educativo actual. En este </w:t>
      </w:r>
      <w:r w:rsidR="00DA514D">
        <w:t>M</w:t>
      </w:r>
      <w:r>
        <w:t>odelo, el posgrado y la investigación tienen un papel central  para la formación de alumnos y para la actualización del ejercicio de la docencia (se vuelve a vincular docencia e investigación)</w:t>
      </w:r>
      <w:r w:rsidR="00DA514D">
        <w:t>. Es en donde el programa de MCMC dirigido a la formación de investigadores sobre aspectos metodológicos de su disciplina, se presenta como una opción de apoyo del Programa de Estratégico de Investigación y Posgrado en sus etapas de reordenamiento, apoyo y consolidación.</w:t>
      </w:r>
    </w:p>
    <w:p w:rsidR="00DA514D" w:rsidRDefault="00DA514D" w:rsidP="00E16642"/>
    <w:p w:rsidR="000D6AD6" w:rsidRPr="00AA0575" w:rsidRDefault="00AE18AA" w:rsidP="00E16642">
      <w:r>
        <w:t>El posgrado con una orientación a la formación de investigadores debe adscribirse a criterios nacionales establecidos por el CONACyT y la SES en el Programa Nac</w:t>
      </w:r>
      <w:r w:rsidR="00DA514D">
        <w:t>ional de Posgrados de Calidad. Sin embargo, la distinción por orientaciones en los posgrados aún no está del todo acreditada, es decir, sí es aceptada por el CONACyT</w:t>
      </w:r>
      <w:r w:rsidR="009373A8">
        <w:t>,</w:t>
      </w:r>
      <w:r w:rsidR="00DA514D">
        <w:t xml:space="preserve"> pero presenta vacíos e inconsistencias que incluso el mismo Consejo ha reconocido</w:t>
      </w:r>
      <w:r w:rsidR="009373A8">
        <w:t>. Para coadyuvar al establecimiento de criterios diferenciados se presentan los resultados de trabajos de diversos autores, del Foro Consultivo de Ciencia y Tecnología y del mismo CONACyT.</w:t>
      </w:r>
      <w:r w:rsidR="00843D5F" w:rsidRPr="00AA0575">
        <w:br w:type="page"/>
      </w:r>
    </w:p>
    <w:p w:rsidR="004945A5" w:rsidRPr="000D4A6F" w:rsidRDefault="00AE18AA" w:rsidP="00E16642">
      <w:pPr>
        <w:pStyle w:val="Ttulo1"/>
        <w:tabs>
          <w:tab w:val="left" w:pos="1665"/>
          <w:tab w:val="center" w:pos="4419"/>
        </w:tabs>
        <w:jc w:val="left"/>
        <w:rPr>
          <w:lang w:val="en-US"/>
        </w:rPr>
      </w:pPr>
      <w:r>
        <w:lastRenderedPageBreak/>
        <w:tab/>
      </w:r>
      <w:r>
        <w:tab/>
      </w:r>
      <w:bookmarkStart w:id="8" w:name="_Toc308691476"/>
      <w:r w:rsidR="00843D5F" w:rsidRPr="000D4A6F">
        <w:rPr>
          <w:lang w:val="en-US"/>
        </w:rPr>
        <w:t>Abstract</w:t>
      </w:r>
      <w:bookmarkEnd w:id="8"/>
    </w:p>
    <w:p w:rsidR="00AE18AA" w:rsidRPr="000D4A6F" w:rsidRDefault="00AE18AA" w:rsidP="00E16642">
      <w:pPr>
        <w:rPr>
          <w:lang w:val="en-US"/>
        </w:rPr>
      </w:pPr>
    </w:p>
    <w:p w:rsidR="00AE18AA" w:rsidRPr="001863AC" w:rsidRDefault="00AE18AA" w:rsidP="00E16642">
      <w:pPr>
        <w:rPr>
          <w:lang w:val="en-US"/>
        </w:rPr>
      </w:pPr>
      <w:r w:rsidRPr="001863AC">
        <w:rPr>
          <w:lang w:val="en-US"/>
        </w:rPr>
        <w:t xml:space="preserve">The postgraduate course in Methodology of Science with a history of more than 25 years within the </w:t>
      </w:r>
      <w:proofErr w:type="gramStart"/>
      <w:r w:rsidRPr="001863AC">
        <w:rPr>
          <w:lang w:val="en-US"/>
        </w:rPr>
        <w:t>IPN,</w:t>
      </w:r>
      <w:proofErr w:type="gramEnd"/>
      <w:r w:rsidRPr="001863AC">
        <w:rPr>
          <w:lang w:val="en-US"/>
        </w:rPr>
        <w:t xml:space="preserve"> is now in a new stage. The redesign of the program objectives and curriculum has been </w:t>
      </w:r>
      <w:r w:rsidR="009373A8" w:rsidRPr="001863AC">
        <w:rPr>
          <w:lang w:val="en-US"/>
        </w:rPr>
        <w:t>driven</w:t>
      </w:r>
      <w:r w:rsidRPr="001863AC">
        <w:rPr>
          <w:lang w:val="en-US"/>
        </w:rPr>
        <w:t xml:space="preserve"> by debates, changes </w:t>
      </w:r>
      <w:r w:rsidR="009373A8" w:rsidRPr="001863AC">
        <w:rPr>
          <w:lang w:val="en-US"/>
        </w:rPr>
        <w:t>of venue</w:t>
      </w:r>
      <w:r w:rsidRPr="001863AC">
        <w:rPr>
          <w:lang w:val="en-US"/>
        </w:rPr>
        <w:t xml:space="preserve">, partial closures, different </w:t>
      </w:r>
      <w:proofErr w:type="gramStart"/>
      <w:r w:rsidRPr="001863AC">
        <w:rPr>
          <w:lang w:val="en-US"/>
        </w:rPr>
        <w:t>actors</w:t>
      </w:r>
      <w:proofErr w:type="gramEnd"/>
      <w:r w:rsidR="0067192B" w:rsidRPr="001863AC">
        <w:rPr>
          <w:lang w:val="en-US"/>
        </w:rPr>
        <w:t xml:space="preserve"> participations</w:t>
      </w:r>
      <w:r w:rsidRPr="001863AC">
        <w:rPr>
          <w:lang w:val="en-US"/>
        </w:rPr>
        <w:t>, internal and external evaluations and the encouragement of researchers</w:t>
      </w:r>
      <w:r w:rsidR="0067192B" w:rsidRPr="001863AC">
        <w:rPr>
          <w:lang w:val="en-US"/>
        </w:rPr>
        <w:t>-professors</w:t>
      </w:r>
      <w:r w:rsidRPr="001863AC">
        <w:rPr>
          <w:lang w:val="en-US"/>
        </w:rPr>
        <w:t xml:space="preserve"> concerned about the training of methodology</w:t>
      </w:r>
      <w:r w:rsidR="0067192B" w:rsidRPr="001863AC">
        <w:rPr>
          <w:lang w:val="en-US"/>
        </w:rPr>
        <w:t xml:space="preserve"> of science scientists.</w:t>
      </w:r>
    </w:p>
    <w:p w:rsidR="009373A8" w:rsidRPr="001863AC" w:rsidRDefault="009373A8" w:rsidP="00E16642">
      <w:pPr>
        <w:rPr>
          <w:lang w:val="en-US"/>
        </w:rPr>
      </w:pPr>
    </w:p>
    <w:p w:rsidR="009373A8" w:rsidRPr="001863AC" w:rsidRDefault="009373A8" w:rsidP="00E16642">
      <w:pPr>
        <w:rPr>
          <w:lang w:val="en-US"/>
        </w:rPr>
      </w:pPr>
      <w:r w:rsidRPr="001863AC">
        <w:rPr>
          <w:lang w:val="en-US"/>
        </w:rPr>
        <w:t xml:space="preserve">As part of the </w:t>
      </w:r>
      <w:r w:rsidR="0067192B" w:rsidRPr="001863AC">
        <w:rPr>
          <w:lang w:val="en-US"/>
        </w:rPr>
        <w:t>IPN</w:t>
      </w:r>
      <w:r w:rsidRPr="001863AC">
        <w:rPr>
          <w:lang w:val="en-US"/>
        </w:rPr>
        <w:t xml:space="preserve"> also participates in programs under the </w:t>
      </w:r>
      <w:proofErr w:type="spellStart"/>
      <w:r w:rsidR="0067192B" w:rsidRPr="001863AC">
        <w:rPr>
          <w:lang w:val="en-US"/>
        </w:rPr>
        <w:t>Reforma</w:t>
      </w:r>
      <w:proofErr w:type="spellEnd"/>
      <w:r w:rsidR="0067192B" w:rsidRPr="001863AC">
        <w:rPr>
          <w:lang w:val="en-US"/>
        </w:rPr>
        <w:t xml:space="preserve"> </w:t>
      </w:r>
      <w:proofErr w:type="spellStart"/>
      <w:r w:rsidR="0067192B" w:rsidRPr="001863AC">
        <w:rPr>
          <w:lang w:val="en-US"/>
        </w:rPr>
        <w:t>Académica</w:t>
      </w:r>
      <w:proofErr w:type="spellEnd"/>
      <w:r w:rsidR="0067192B" w:rsidRPr="001863AC">
        <w:rPr>
          <w:lang w:val="en-US"/>
        </w:rPr>
        <w:t xml:space="preserve"> (Academic Reform)</w:t>
      </w:r>
      <w:r w:rsidRPr="001863AC">
        <w:rPr>
          <w:lang w:val="en-US"/>
        </w:rPr>
        <w:t xml:space="preserve">, from which it is proposed the current </w:t>
      </w:r>
      <w:proofErr w:type="spellStart"/>
      <w:r w:rsidR="0067192B" w:rsidRPr="001863AC">
        <w:rPr>
          <w:lang w:val="en-US"/>
        </w:rPr>
        <w:t>Modelo</w:t>
      </w:r>
      <w:proofErr w:type="spellEnd"/>
      <w:r w:rsidR="0067192B" w:rsidRPr="001863AC">
        <w:rPr>
          <w:lang w:val="en-US"/>
        </w:rPr>
        <w:t xml:space="preserve"> </w:t>
      </w:r>
      <w:proofErr w:type="spellStart"/>
      <w:r w:rsidR="0067192B" w:rsidRPr="001863AC">
        <w:rPr>
          <w:lang w:val="en-US"/>
        </w:rPr>
        <w:t>Educativo</w:t>
      </w:r>
      <w:proofErr w:type="spellEnd"/>
      <w:r w:rsidR="0067192B" w:rsidRPr="001863AC">
        <w:rPr>
          <w:lang w:val="en-US"/>
        </w:rPr>
        <w:t xml:space="preserve"> (Educational Model)</w:t>
      </w:r>
      <w:r w:rsidRPr="001863AC">
        <w:rPr>
          <w:lang w:val="en-US"/>
        </w:rPr>
        <w:t xml:space="preserve">. In this </w:t>
      </w:r>
      <w:r w:rsidR="0067192B" w:rsidRPr="001863AC">
        <w:rPr>
          <w:lang w:val="en-US"/>
        </w:rPr>
        <w:t>M</w:t>
      </w:r>
      <w:r w:rsidRPr="001863AC">
        <w:rPr>
          <w:lang w:val="en-US"/>
        </w:rPr>
        <w:t xml:space="preserve">odel, the </w:t>
      </w:r>
      <w:r w:rsidR="0067192B" w:rsidRPr="001863AC">
        <w:rPr>
          <w:lang w:val="en-US"/>
        </w:rPr>
        <w:t>post</w:t>
      </w:r>
      <w:r w:rsidRPr="001863AC">
        <w:rPr>
          <w:lang w:val="en-US"/>
        </w:rPr>
        <w:t xml:space="preserve">graduate and research are central to the education of students and to update the practice of teaching (re-link teaching and research). This is where the MCMC program aimed at training researchers on methodological aspects of their </w:t>
      </w:r>
      <w:proofErr w:type="gramStart"/>
      <w:r w:rsidRPr="001863AC">
        <w:rPr>
          <w:lang w:val="en-US"/>
        </w:rPr>
        <w:t>discipline,</w:t>
      </w:r>
      <w:proofErr w:type="gramEnd"/>
      <w:r w:rsidRPr="001863AC">
        <w:rPr>
          <w:lang w:val="en-US"/>
        </w:rPr>
        <w:t xml:space="preserve"> is presented as an option to support the </w:t>
      </w:r>
      <w:proofErr w:type="spellStart"/>
      <w:r w:rsidR="0067192B" w:rsidRPr="001863AC">
        <w:rPr>
          <w:lang w:val="en-US"/>
        </w:rPr>
        <w:t>Programa</w:t>
      </w:r>
      <w:proofErr w:type="spellEnd"/>
      <w:r w:rsidR="0067192B" w:rsidRPr="001863AC">
        <w:rPr>
          <w:lang w:val="en-US"/>
        </w:rPr>
        <w:t xml:space="preserve"> </w:t>
      </w:r>
      <w:proofErr w:type="spellStart"/>
      <w:r w:rsidR="0067192B" w:rsidRPr="001863AC">
        <w:rPr>
          <w:lang w:val="en-US"/>
        </w:rPr>
        <w:t>Estratégico</w:t>
      </w:r>
      <w:proofErr w:type="spellEnd"/>
      <w:r w:rsidR="0067192B" w:rsidRPr="001863AC">
        <w:rPr>
          <w:lang w:val="en-US"/>
        </w:rPr>
        <w:t xml:space="preserve"> de </w:t>
      </w:r>
      <w:proofErr w:type="spellStart"/>
      <w:r w:rsidR="0067192B" w:rsidRPr="001863AC">
        <w:rPr>
          <w:lang w:val="en-US"/>
        </w:rPr>
        <w:t>Investigación</w:t>
      </w:r>
      <w:proofErr w:type="spellEnd"/>
      <w:r w:rsidR="0067192B" w:rsidRPr="001863AC">
        <w:rPr>
          <w:lang w:val="en-US"/>
        </w:rPr>
        <w:t xml:space="preserve"> y </w:t>
      </w:r>
      <w:proofErr w:type="spellStart"/>
      <w:r w:rsidR="0067192B" w:rsidRPr="001863AC">
        <w:rPr>
          <w:lang w:val="en-US"/>
        </w:rPr>
        <w:t>Posgrado</w:t>
      </w:r>
      <w:proofErr w:type="spellEnd"/>
      <w:r w:rsidR="0067192B" w:rsidRPr="001863AC">
        <w:rPr>
          <w:lang w:val="en-US"/>
        </w:rPr>
        <w:t xml:space="preserve"> (</w:t>
      </w:r>
      <w:r w:rsidRPr="001863AC">
        <w:rPr>
          <w:lang w:val="en-US"/>
        </w:rPr>
        <w:t xml:space="preserve">Strategic </w:t>
      </w:r>
      <w:r w:rsidR="0067192B" w:rsidRPr="001863AC">
        <w:rPr>
          <w:lang w:val="en-US"/>
        </w:rPr>
        <w:t>Program</w:t>
      </w:r>
      <w:r w:rsidRPr="001863AC">
        <w:rPr>
          <w:lang w:val="en-US"/>
        </w:rPr>
        <w:t xml:space="preserve"> for Research and </w:t>
      </w:r>
      <w:r w:rsidR="0067192B" w:rsidRPr="001863AC">
        <w:rPr>
          <w:lang w:val="en-US"/>
        </w:rPr>
        <w:t>Postg</w:t>
      </w:r>
      <w:r w:rsidRPr="001863AC">
        <w:rPr>
          <w:lang w:val="en-US"/>
        </w:rPr>
        <w:t>raduate</w:t>
      </w:r>
      <w:r w:rsidR="0067192B" w:rsidRPr="001863AC">
        <w:rPr>
          <w:lang w:val="en-US"/>
        </w:rPr>
        <w:t>)</w:t>
      </w:r>
      <w:r w:rsidRPr="001863AC">
        <w:rPr>
          <w:lang w:val="en-US"/>
        </w:rPr>
        <w:t xml:space="preserve"> stages of reorganization, support and consolidation.</w:t>
      </w:r>
    </w:p>
    <w:p w:rsidR="009373A8" w:rsidRPr="001863AC" w:rsidRDefault="009373A8" w:rsidP="00E16642">
      <w:pPr>
        <w:rPr>
          <w:lang w:val="en-US"/>
        </w:rPr>
      </w:pPr>
    </w:p>
    <w:p w:rsidR="009373A8" w:rsidRPr="001863AC" w:rsidRDefault="0067192B" w:rsidP="00E16642">
      <w:pPr>
        <w:rPr>
          <w:lang w:val="en-US"/>
        </w:rPr>
      </w:pPr>
      <w:r w:rsidRPr="001863AC">
        <w:rPr>
          <w:lang w:val="en-US"/>
        </w:rPr>
        <w:t>A</w:t>
      </w:r>
      <w:r w:rsidR="009373A8" w:rsidRPr="001863AC">
        <w:rPr>
          <w:lang w:val="en-US"/>
        </w:rPr>
        <w:t xml:space="preserve"> </w:t>
      </w:r>
      <w:r w:rsidRPr="001863AC">
        <w:rPr>
          <w:lang w:val="en-US"/>
        </w:rPr>
        <w:t>post</w:t>
      </w:r>
      <w:r w:rsidR="009373A8" w:rsidRPr="001863AC">
        <w:rPr>
          <w:lang w:val="en-US"/>
        </w:rPr>
        <w:t>graduate</w:t>
      </w:r>
      <w:r w:rsidRPr="001863AC">
        <w:rPr>
          <w:lang w:val="en-US"/>
        </w:rPr>
        <w:t xml:space="preserve"> program</w:t>
      </w:r>
      <w:r w:rsidR="009373A8" w:rsidRPr="001863AC">
        <w:rPr>
          <w:lang w:val="en-US"/>
        </w:rPr>
        <w:t xml:space="preserve"> with an orientation to the training of researchers should be ascribed to national standards set by the CONACyT and the SES in the </w:t>
      </w:r>
      <w:proofErr w:type="spellStart"/>
      <w:r w:rsidRPr="001863AC">
        <w:rPr>
          <w:lang w:val="en-US"/>
        </w:rPr>
        <w:t>Padrón</w:t>
      </w:r>
      <w:proofErr w:type="spellEnd"/>
      <w:r w:rsidRPr="001863AC">
        <w:rPr>
          <w:lang w:val="en-US"/>
        </w:rPr>
        <w:t xml:space="preserve"> </w:t>
      </w:r>
      <w:proofErr w:type="spellStart"/>
      <w:r w:rsidRPr="001863AC">
        <w:rPr>
          <w:lang w:val="en-US"/>
        </w:rPr>
        <w:t>Nacional</w:t>
      </w:r>
      <w:proofErr w:type="spellEnd"/>
      <w:r w:rsidRPr="001863AC">
        <w:rPr>
          <w:lang w:val="en-US"/>
        </w:rPr>
        <w:t xml:space="preserve"> de </w:t>
      </w:r>
      <w:proofErr w:type="spellStart"/>
      <w:r w:rsidRPr="001863AC">
        <w:rPr>
          <w:lang w:val="en-US"/>
        </w:rPr>
        <w:t>Posgrados</w:t>
      </w:r>
      <w:proofErr w:type="spellEnd"/>
      <w:r w:rsidRPr="001863AC">
        <w:rPr>
          <w:lang w:val="en-US"/>
        </w:rPr>
        <w:t xml:space="preserve"> de </w:t>
      </w:r>
      <w:proofErr w:type="spellStart"/>
      <w:r w:rsidRPr="001863AC">
        <w:rPr>
          <w:lang w:val="en-US"/>
        </w:rPr>
        <w:t>Calidad</w:t>
      </w:r>
      <w:proofErr w:type="spellEnd"/>
      <w:r w:rsidRPr="001863AC">
        <w:rPr>
          <w:lang w:val="en-US"/>
        </w:rPr>
        <w:t xml:space="preserve"> (Census of Quality </w:t>
      </w:r>
      <w:r w:rsidR="009373A8" w:rsidRPr="001863AC">
        <w:rPr>
          <w:lang w:val="en-US"/>
        </w:rPr>
        <w:t xml:space="preserve">National </w:t>
      </w:r>
      <w:r w:rsidRPr="001863AC">
        <w:rPr>
          <w:lang w:val="en-US"/>
        </w:rPr>
        <w:t>Postgraduate Programs)</w:t>
      </w:r>
      <w:r w:rsidR="009373A8" w:rsidRPr="001863AC">
        <w:rPr>
          <w:lang w:val="en-US"/>
        </w:rPr>
        <w:t xml:space="preserve">. However, the distinction in postgraduate guidance is not yet fully established, it is accepted by the CONACyT, but has gaps and inconsistencies that even the Council itself has acknowledged. To assist the </w:t>
      </w:r>
      <w:r w:rsidRPr="001863AC">
        <w:rPr>
          <w:lang w:val="en-US"/>
        </w:rPr>
        <w:t>establishments of different criteria are</w:t>
      </w:r>
      <w:r w:rsidR="009373A8" w:rsidRPr="001863AC">
        <w:rPr>
          <w:lang w:val="en-US"/>
        </w:rPr>
        <w:t xml:space="preserve"> presented the results of work of many authors, the </w:t>
      </w:r>
      <w:proofErr w:type="spellStart"/>
      <w:r w:rsidRPr="001863AC">
        <w:rPr>
          <w:lang w:val="en-US"/>
        </w:rPr>
        <w:t>Foro</w:t>
      </w:r>
      <w:proofErr w:type="spellEnd"/>
      <w:r w:rsidRPr="001863AC">
        <w:rPr>
          <w:lang w:val="en-US"/>
        </w:rPr>
        <w:t xml:space="preserve"> </w:t>
      </w:r>
      <w:proofErr w:type="spellStart"/>
      <w:r w:rsidRPr="001863AC">
        <w:rPr>
          <w:lang w:val="en-US"/>
        </w:rPr>
        <w:t>Consultivo</w:t>
      </w:r>
      <w:proofErr w:type="spellEnd"/>
      <w:r w:rsidRPr="001863AC">
        <w:rPr>
          <w:lang w:val="en-US"/>
        </w:rPr>
        <w:t xml:space="preserve"> de </w:t>
      </w:r>
      <w:proofErr w:type="spellStart"/>
      <w:r w:rsidRPr="001863AC">
        <w:rPr>
          <w:lang w:val="en-US"/>
        </w:rPr>
        <w:t>Ciencia</w:t>
      </w:r>
      <w:proofErr w:type="spellEnd"/>
      <w:r w:rsidRPr="001863AC">
        <w:rPr>
          <w:lang w:val="en-US"/>
        </w:rPr>
        <w:t xml:space="preserve"> y </w:t>
      </w:r>
      <w:proofErr w:type="spellStart"/>
      <w:r w:rsidRPr="001863AC">
        <w:rPr>
          <w:lang w:val="en-US"/>
        </w:rPr>
        <w:t>Tecnología</w:t>
      </w:r>
      <w:proofErr w:type="spellEnd"/>
      <w:r w:rsidRPr="001863AC">
        <w:rPr>
          <w:lang w:val="en-US"/>
        </w:rPr>
        <w:t xml:space="preserve"> (</w:t>
      </w:r>
      <w:r w:rsidR="009373A8" w:rsidRPr="001863AC">
        <w:rPr>
          <w:lang w:val="en-US"/>
        </w:rPr>
        <w:t>Advisory Forum of Science and Technology</w:t>
      </w:r>
      <w:r w:rsidRPr="001863AC">
        <w:rPr>
          <w:lang w:val="en-US"/>
        </w:rPr>
        <w:t>)</w:t>
      </w:r>
      <w:r w:rsidR="009373A8" w:rsidRPr="001863AC">
        <w:rPr>
          <w:lang w:val="en-US"/>
        </w:rPr>
        <w:t xml:space="preserve"> and the same CONACyT.</w:t>
      </w:r>
    </w:p>
    <w:p w:rsidR="009373A8" w:rsidRPr="001863AC" w:rsidRDefault="009373A8" w:rsidP="00E16642">
      <w:pPr>
        <w:rPr>
          <w:lang w:val="en-US"/>
        </w:rPr>
      </w:pPr>
    </w:p>
    <w:p w:rsidR="009373A8" w:rsidRPr="001863AC" w:rsidRDefault="009373A8" w:rsidP="00E16642">
      <w:pPr>
        <w:rPr>
          <w:lang w:val="en-US"/>
        </w:rPr>
        <w:sectPr w:rsidR="009373A8" w:rsidRPr="001863AC" w:rsidSect="00086BBD">
          <w:headerReference w:type="default" r:id="rId15"/>
          <w:pgSz w:w="12240" w:h="15840" w:code="1"/>
          <w:pgMar w:top="1418" w:right="1701" w:bottom="1418" w:left="1701" w:header="709" w:footer="709" w:gutter="0"/>
          <w:pgNumType w:fmt="lowerRoman"/>
          <w:cols w:space="708"/>
          <w:docGrid w:linePitch="360"/>
        </w:sectPr>
      </w:pPr>
    </w:p>
    <w:p w:rsidR="00A60139" w:rsidRPr="001863AC" w:rsidRDefault="00843D5F" w:rsidP="00E16642">
      <w:pPr>
        <w:pStyle w:val="Ttulo1"/>
      </w:pPr>
      <w:bookmarkStart w:id="9" w:name="_Toc308691477"/>
      <w:r w:rsidRPr="001863AC">
        <w:lastRenderedPageBreak/>
        <w:t>Introducción</w:t>
      </w:r>
      <w:bookmarkEnd w:id="0"/>
      <w:bookmarkEnd w:id="9"/>
    </w:p>
    <w:p w:rsidR="00A60139" w:rsidRPr="001863AC" w:rsidRDefault="00A60139" w:rsidP="00E16642"/>
    <w:p w:rsidR="00A60139" w:rsidRDefault="00A60139" w:rsidP="00E16642">
      <w:pPr>
        <w:rPr>
          <w:rFonts w:cs="Times New Roman"/>
        </w:rPr>
      </w:pPr>
      <w:r>
        <w:t>La educación superior comprende los estudios impartidos en la universidad o en algún centro de enseñanza superior avalado por el Estado, dirigidos a la formación profesional o a la formación para la investigación</w:t>
      </w:r>
      <w:r>
        <w:rPr>
          <w:noProof/>
        </w:rPr>
        <w:t xml:space="preserve"> (United Nations Educational, Scientific and Cultural Organization [UNESCO], 1998). </w:t>
      </w:r>
      <w:r>
        <w:t xml:space="preserve">En México se considera que de ella depende la capacidad de desarrollo del país, por lo que se han creado políticas y programas en materia educativa, de ciencia y tecnología </w:t>
      </w:r>
      <w:r w:rsidRPr="00E85B4F">
        <w:t>(</w:t>
      </w:r>
      <w:r>
        <w:t>Instituto Politécnico Nacional [</w:t>
      </w:r>
      <w:r w:rsidRPr="00E85B4F">
        <w:t>IPN</w:t>
      </w:r>
      <w:r>
        <w:t>]</w:t>
      </w:r>
      <w:r w:rsidRPr="00E85B4F">
        <w:t>, 2004)</w:t>
      </w:r>
      <w:r>
        <w:rPr>
          <w:rFonts w:cs="Times New Roman"/>
        </w:rPr>
        <w:t>, atendiendo a estas dos vertientes de formación.</w:t>
      </w:r>
    </w:p>
    <w:p w:rsidR="00090987" w:rsidRDefault="00090987" w:rsidP="00E16642">
      <w:pPr>
        <w:rPr>
          <w:rFonts w:cs="Times New Roman"/>
        </w:rPr>
      </w:pPr>
    </w:p>
    <w:p w:rsidR="00A60139" w:rsidRDefault="00090987" w:rsidP="00E16642">
      <w:pPr>
        <w:rPr>
          <w:rFonts w:cs="Times New Roman"/>
        </w:rPr>
      </w:pPr>
      <w:r>
        <w:rPr>
          <w:rFonts w:cs="Times New Roman"/>
        </w:rPr>
        <w:t xml:space="preserve">Dentro del Instituto Politécnico Nacional, se imparte el posgrado de Maestría en  Ciencias en Metodología de la Ciencia, creado en un inicio para capacitar a los profesores del mismo Instituto en cuanto a la investigación, pero que ha abierto sus puertas a aspirantes de cualquier otra organización. El alcance que ha tenido </w:t>
      </w:r>
      <w:r w:rsidR="00D96AC8">
        <w:rPr>
          <w:rFonts w:cs="Times New Roman"/>
        </w:rPr>
        <w:t xml:space="preserve">hasta ahora, </w:t>
      </w:r>
      <w:r>
        <w:rPr>
          <w:rFonts w:cs="Times New Roman"/>
        </w:rPr>
        <w:t>ha estado permeado por la concepción de la metodología</w:t>
      </w:r>
      <w:r w:rsidR="00D96AC8">
        <w:rPr>
          <w:rFonts w:cs="Times New Roman"/>
        </w:rPr>
        <w:t xml:space="preserve"> de sus participantes</w:t>
      </w:r>
      <w:r w:rsidR="00D96AC8">
        <w:rPr>
          <w:rStyle w:val="Refdenotaalpie"/>
          <w:rFonts w:cs="Times New Roman"/>
        </w:rPr>
        <w:footnoteReference w:id="1"/>
      </w:r>
      <w:r w:rsidR="00D96AC8">
        <w:rPr>
          <w:rFonts w:cs="Times New Roman"/>
        </w:rPr>
        <w:t>, lo cual se convierte en un problema de investigación al plantear las posibilidades que tiene el programa para el desarrollo de la ciencia, la investigación y el posgrado en el marco de la Reforma Académica del IPN</w:t>
      </w:r>
      <w:r w:rsidR="008979D4">
        <w:rPr>
          <w:rFonts w:cs="Times New Roman"/>
        </w:rPr>
        <w:t>.</w:t>
      </w:r>
    </w:p>
    <w:p w:rsidR="008979D4" w:rsidRDefault="008979D4" w:rsidP="00E16642">
      <w:pPr>
        <w:rPr>
          <w:rFonts w:cs="Times New Roman"/>
        </w:rPr>
      </w:pPr>
    </w:p>
    <w:p w:rsidR="008979D4" w:rsidRDefault="008979D4" w:rsidP="00E16642">
      <w:pPr>
        <w:rPr>
          <w:rFonts w:cs="Times New Roman"/>
        </w:rPr>
      </w:pPr>
      <w:r>
        <w:rPr>
          <w:rFonts w:cs="Times New Roman"/>
        </w:rPr>
        <w:t xml:space="preserve">Debido a ello, </w:t>
      </w:r>
      <w:r w:rsidR="00D65D71">
        <w:rPr>
          <w:rFonts w:cs="Times New Roman"/>
        </w:rPr>
        <w:t xml:space="preserve">en </w:t>
      </w:r>
      <w:r>
        <w:rPr>
          <w:rFonts w:cs="Times New Roman"/>
        </w:rPr>
        <w:t>este trabajo se propone</w:t>
      </w:r>
      <w:r w:rsidR="00D65D71">
        <w:rPr>
          <w:rFonts w:cs="Times New Roman"/>
        </w:rPr>
        <w:t xml:space="preserve"> una concepción de metodología a través de la revisión de diversos autores y propuestas de organismos académicos nacionales e internacionales, para después señalar los elementos que tanto a nivel institucional (IPN) y nacional (</w:t>
      </w:r>
      <w:proofErr w:type="spellStart"/>
      <w:r w:rsidR="00D65D71">
        <w:rPr>
          <w:rFonts w:cs="Times New Roman"/>
        </w:rPr>
        <w:t>CONACyT</w:t>
      </w:r>
      <w:proofErr w:type="spellEnd"/>
      <w:r w:rsidR="00D65D71">
        <w:rPr>
          <w:rFonts w:cs="Times New Roman"/>
        </w:rPr>
        <w:t>) debe cumplir la maestría para lograr ser parte del eje de desarrollo educativo y científico. Se considera que el punto en donde confluyen estas dos facetas es la investigación, porque se ha colocado en el centro de la formación tanto de académicos-investigadores como de profesionistas.</w:t>
      </w:r>
    </w:p>
    <w:p w:rsidR="008979D4" w:rsidRDefault="008979D4" w:rsidP="00E16642"/>
    <w:p w:rsidR="00A60139" w:rsidRDefault="00A60139" w:rsidP="00E16642">
      <w:r>
        <w:lastRenderedPageBreak/>
        <w:t>La composición o estructura, de</w:t>
      </w:r>
      <w:r w:rsidRPr="00E85B4F">
        <w:t>l siste</w:t>
      </w:r>
      <w:r>
        <w:t>ma educativo del nivel superior</w:t>
      </w:r>
      <w:r w:rsidRPr="00E85B4F">
        <w:t xml:space="preserve"> en México, es una red institucional formada históricamente en dos momentos, el primero en 1910 con la reaparición de la Universidad Nacional de México (ahora U</w:t>
      </w:r>
      <w:r>
        <w:t>niversidad Nacional Autónoma de México, U</w:t>
      </w:r>
      <w:r w:rsidRPr="00E85B4F">
        <w:t>NAM) y el segundo en la década de los treinta con la creación</w:t>
      </w:r>
      <w:r>
        <w:t xml:space="preserve"> del IPN, los cuales se convirtieron</w:t>
      </w:r>
      <w:r w:rsidRPr="00E85B4F">
        <w:t xml:space="preserve"> en los dos ejes principales del desarrollo del subsistema público de la educación superior. Por un lado</w:t>
      </w:r>
      <w:r>
        <w:t>,</w:t>
      </w:r>
      <w:r w:rsidRPr="00E85B4F">
        <w:t xml:space="preserve"> una vertiente universitaria que</w:t>
      </w:r>
      <w:r>
        <w:t xml:space="preserve"> </w:t>
      </w:r>
      <w:r w:rsidR="00D53C85">
        <w:t>dirigida</w:t>
      </w:r>
      <w:r w:rsidRPr="00E85B4F">
        <w:t xml:space="preserve"> al estudio de las ciencias y las humanidades</w:t>
      </w:r>
      <w:r w:rsidR="00205F16">
        <w:t>, la investigación en dichas áreas,</w:t>
      </w:r>
      <w:r w:rsidRPr="00E85B4F">
        <w:t xml:space="preserve"> y a la f</w:t>
      </w:r>
      <w:r>
        <w:t>ormación de profesionales</w:t>
      </w:r>
      <w:r w:rsidR="00205F16">
        <w:t>;</w:t>
      </w:r>
      <w:r w:rsidRPr="00E85B4F">
        <w:t xml:space="preserve"> y por otro</w:t>
      </w:r>
      <w:r>
        <w:t>,</w:t>
      </w:r>
      <w:r w:rsidRPr="00E85B4F">
        <w:t xml:space="preserve"> la rama tecnológica centrada en la investigación aplicada y </w:t>
      </w:r>
      <w:r w:rsidR="00205F16">
        <w:t xml:space="preserve">formación de </w:t>
      </w:r>
      <w:r w:rsidRPr="00E85B4F">
        <w:t>egresados dirigidos al desarrollo industrial del país.</w:t>
      </w:r>
      <w:r>
        <w:t xml:space="preserve"> </w:t>
      </w:r>
    </w:p>
    <w:p w:rsidR="00A60139" w:rsidRDefault="00A60139" w:rsidP="00E16642"/>
    <w:p w:rsidR="00A60139" w:rsidRDefault="00A60139" w:rsidP="00E16642">
      <w:r w:rsidRPr="00E85B4F">
        <w:t>En los años cuarenta co</w:t>
      </w:r>
      <w:r>
        <w:t>menzaron a surgir las</w:t>
      </w:r>
      <w:r w:rsidRPr="00E85B4F">
        <w:t xml:space="preserve"> universidades privadas</w:t>
      </w:r>
      <w:r>
        <w:t>,</w:t>
      </w:r>
      <w:r w:rsidRPr="00E85B4F">
        <w:t xml:space="preserve"> como el Instituto Tecnológico de Estudios Superiores de Monterrey (ITESM) y la Universidad Iberoamericana (UIA); y de la misma manera que en el sector público, se conforman dos subniveles</w:t>
      </w:r>
      <w:r>
        <w:t>,</w:t>
      </w:r>
      <w:r w:rsidRPr="00E85B4F">
        <w:t xml:space="preserve"> uno tecnológico vinculado con intereses de grupos económicos privados y el otro de corte humanista promovido por la iglesia católica </w:t>
      </w:r>
      <w:sdt>
        <w:sdtPr>
          <w:id w:val="527696"/>
          <w:citation/>
        </w:sdtPr>
        <w:sdtEndPr/>
        <w:sdtContent>
          <w:r w:rsidR="0072146B" w:rsidRPr="00E85B4F">
            <w:fldChar w:fldCharType="begin"/>
          </w:r>
          <w:r w:rsidRPr="00E85B4F">
            <w:instrText xml:space="preserve"> CITATION And07 \l 2058 </w:instrText>
          </w:r>
          <w:r w:rsidR="0072146B" w:rsidRPr="00E85B4F">
            <w:fldChar w:fldCharType="separate"/>
          </w:r>
          <w:r>
            <w:rPr>
              <w:noProof/>
            </w:rPr>
            <w:t>(Andión Gamboa, 2007)</w:t>
          </w:r>
          <w:r w:rsidR="0072146B" w:rsidRPr="00E85B4F">
            <w:fldChar w:fldCharType="end"/>
          </w:r>
        </w:sdtContent>
      </w:sdt>
      <w:r>
        <w:t xml:space="preserve">. </w:t>
      </w:r>
    </w:p>
    <w:p w:rsidR="00A60139" w:rsidRDefault="00A60139" w:rsidP="00E16642"/>
    <w:p w:rsidR="00A60139" w:rsidRDefault="00A60139" w:rsidP="00E16642">
      <w:r>
        <w:t>Actualmente, l</w:t>
      </w:r>
      <w:r w:rsidRPr="00E85B4F">
        <w:t xml:space="preserve">a Secretaría de Educación Pública </w:t>
      </w:r>
      <w:r>
        <w:t>distingue</w:t>
      </w:r>
      <w:r w:rsidRPr="00E85B4F">
        <w:t xml:space="preserve"> entre </w:t>
      </w:r>
      <w:r>
        <w:t>las instituciones de educación superior a las públicas (</w:t>
      </w:r>
      <w:r w:rsidRPr="00E85B4F">
        <w:t>federales y estatales</w:t>
      </w:r>
      <w:r>
        <w:t>), y a las privadas (universidades, instituciones no universitarias y redes universitarias). E</w:t>
      </w:r>
      <w:r w:rsidRPr="00E85B4F">
        <w:t>stablece</w:t>
      </w:r>
      <w:r w:rsidR="00872EF6">
        <w:t>, asimismo,</w:t>
      </w:r>
      <w:r w:rsidRPr="00E85B4F">
        <w:t xml:space="preserve"> que son cuatro las federales</w:t>
      </w:r>
      <w:r w:rsidR="00205F16">
        <w:t xml:space="preserve"> públicas</w:t>
      </w:r>
      <w:r w:rsidRPr="00E85B4F">
        <w:t>: la U</w:t>
      </w:r>
      <w:r>
        <w:t xml:space="preserve">niversidad </w:t>
      </w:r>
      <w:r w:rsidRPr="00E85B4F">
        <w:t>N</w:t>
      </w:r>
      <w:r>
        <w:t xml:space="preserve">acional </w:t>
      </w:r>
      <w:r w:rsidRPr="00E85B4F">
        <w:t>A</w:t>
      </w:r>
      <w:r>
        <w:t xml:space="preserve">utónoma de </w:t>
      </w:r>
      <w:r w:rsidRPr="00E85B4F">
        <w:t>M</w:t>
      </w:r>
      <w:r>
        <w:t>éxico (UNAM)</w:t>
      </w:r>
      <w:r w:rsidRPr="00E85B4F">
        <w:t>, el I</w:t>
      </w:r>
      <w:r>
        <w:t>nstituto Politécnico Nacional (I</w:t>
      </w:r>
      <w:r w:rsidRPr="00E85B4F">
        <w:t>PN</w:t>
      </w:r>
      <w:r>
        <w:t>)</w:t>
      </w:r>
      <w:r w:rsidRPr="00E85B4F">
        <w:t>, la Universidad Autónoma Metropolitana (UAM) y la Universidad Pedagógica Nacional (UPN);</w:t>
      </w:r>
      <w:r>
        <w:t xml:space="preserve"> y</w:t>
      </w:r>
      <w:r w:rsidRPr="00E85B4F">
        <w:t xml:space="preserve"> en cuanto a las instituciones estatales o municipales</w:t>
      </w:r>
      <w:r w:rsidR="00205F16">
        <w:t xml:space="preserve"> públicas,</w:t>
      </w:r>
      <w:r w:rsidRPr="00E85B4F">
        <w:t xml:space="preserve"> en México se reconocen los institutos tecnológicos, las universidades públicas, las universidades tecnológicas, las universidades politécnicas, las universidades interculturales (indígenas) y las escuelas de estudios profesionales (normales).</w:t>
      </w:r>
      <w:r>
        <w:t xml:space="preserve"> Con respecto a </w:t>
      </w:r>
      <w:r w:rsidRPr="00E85B4F">
        <w:t>las instituciones privadas, se re</w:t>
      </w:r>
      <w:r>
        <w:t>gistran</w:t>
      </w:r>
      <w:r w:rsidRPr="00E85B4F">
        <w:t xml:space="preserve"> tres tipos</w:t>
      </w:r>
      <w:r w:rsidR="00872EF6">
        <w:t>:</w:t>
      </w:r>
      <w:r w:rsidRPr="00E85B4F">
        <w:t xml:space="preserve"> universidades (aproximadamente 40); instituciones no universitarias y redes universitarias</w:t>
      </w:r>
      <w:r>
        <w:t xml:space="preserve"> </w:t>
      </w:r>
      <w:sdt>
        <w:sdtPr>
          <w:id w:val="2979003"/>
          <w:citation/>
        </w:sdtPr>
        <w:sdtEndPr/>
        <w:sdtContent>
          <w:r w:rsidR="0072146B">
            <w:fldChar w:fldCharType="begin"/>
          </w:r>
          <w:r>
            <w:instrText xml:space="preserve"> CITATION And07 \l 2058 </w:instrText>
          </w:r>
          <w:r w:rsidR="0072146B">
            <w:fldChar w:fldCharType="separate"/>
          </w:r>
          <w:r>
            <w:rPr>
              <w:noProof/>
            </w:rPr>
            <w:t>(Andión Gamboa, 2007)</w:t>
          </w:r>
          <w:r w:rsidR="0072146B">
            <w:fldChar w:fldCharType="end"/>
          </w:r>
        </w:sdtContent>
      </w:sdt>
      <w:r>
        <w:t xml:space="preserve">. Para 1970, las instituciones públicas eran 82 y las </w:t>
      </w:r>
      <w:r>
        <w:lastRenderedPageBreak/>
        <w:t xml:space="preserve">privadas 36 </w:t>
      </w:r>
      <w:sdt>
        <w:sdtPr>
          <w:id w:val="4096351"/>
          <w:citation/>
        </w:sdtPr>
        <w:sdtEndPr/>
        <w:sdtContent>
          <w:r w:rsidR="0072146B">
            <w:fldChar w:fldCharType="begin"/>
          </w:r>
          <w:r>
            <w:instrText xml:space="preserve"> CITATION Aré031 \l 2058 </w:instrText>
          </w:r>
          <w:r w:rsidR="0072146B">
            <w:fldChar w:fldCharType="separate"/>
          </w:r>
          <w:r>
            <w:rPr>
              <w:noProof/>
            </w:rPr>
            <w:t xml:space="preserve"> (Aréchiga Urtzuástegui &amp; Llarena de Thierry, 2003)</w:t>
          </w:r>
          <w:r w:rsidR="0072146B">
            <w:fldChar w:fldCharType="end"/>
          </w:r>
        </w:sdtContent>
      </w:sdt>
      <w:r>
        <w:t>. Al día de hoy</w:t>
      </w:r>
      <w:r w:rsidR="00205F16">
        <w:t xml:space="preserve">, </w:t>
      </w:r>
      <w:r>
        <w:t xml:space="preserve">existen </w:t>
      </w:r>
      <w:r w:rsidRPr="00E85B4F">
        <w:t>alrededor de 1,900 instituciones de educación superior, 700 públicas y 1,200 privadas</w:t>
      </w:r>
      <w:r>
        <w:t xml:space="preserve"> en todo el país.</w:t>
      </w:r>
    </w:p>
    <w:p w:rsidR="00A60139" w:rsidRDefault="00A60139" w:rsidP="00E16642"/>
    <w:p w:rsidR="00A60139" w:rsidRDefault="00A60139" w:rsidP="00E16642">
      <w:r w:rsidRPr="00E85B4F">
        <w:t xml:space="preserve">Sin embargo, las instituciones públicas siguen siendo las que atienden al mayor número de estudiantes con alrededor de 70% de la matrícula, que </w:t>
      </w:r>
      <w:r>
        <w:t>en números del periodo 2004-2005 se componía</w:t>
      </w:r>
      <w:r w:rsidRPr="00E85B4F">
        <w:t xml:space="preserve"> aproximadamente de 2</w:t>
      </w:r>
      <w:r>
        <w:t xml:space="preserve"> millones y medio de alumnos. Asimismo, en ellas se desarrolla la mayor parte de la investigación,</w:t>
      </w:r>
      <w:r w:rsidRPr="0086167B">
        <w:t xml:space="preserve"> </w:t>
      </w:r>
      <w:r w:rsidRPr="00E85B4F">
        <w:t>es decir, de las 1,</w:t>
      </w:r>
      <w:r>
        <w:t>9</w:t>
      </w:r>
      <w:r w:rsidRPr="00E85B4F">
        <w:t xml:space="preserve">00 instituciones de </w:t>
      </w:r>
      <w:r>
        <w:t>educación superior</w:t>
      </w:r>
      <w:r w:rsidRPr="00E85B4F">
        <w:t xml:space="preserve"> </w:t>
      </w:r>
      <w:r w:rsidR="00AB32CA">
        <w:t>solo</w:t>
      </w:r>
      <w:r w:rsidRPr="00E85B4F">
        <w:t xml:space="preserve"> el 6.6% realiza investigación o genera conocimiento</w:t>
      </w:r>
      <w:sdt>
        <w:sdtPr>
          <w:id w:val="3014325"/>
          <w:citation/>
        </w:sdtPr>
        <w:sdtEndPr/>
        <w:sdtContent>
          <w:r w:rsidR="0072146B">
            <w:fldChar w:fldCharType="begin"/>
          </w:r>
          <w:r>
            <w:instrText xml:space="preserve"> CITATION And07 \l 2058 </w:instrText>
          </w:r>
          <w:r w:rsidR="0072146B">
            <w:fldChar w:fldCharType="separate"/>
          </w:r>
          <w:r>
            <w:rPr>
              <w:noProof/>
            </w:rPr>
            <w:t xml:space="preserve"> (Andión Gamboa, 2007)</w:t>
          </w:r>
          <w:r w:rsidR="0072146B">
            <w:fldChar w:fldCharType="end"/>
          </w:r>
        </w:sdtContent>
      </w:sdt>
      <w:r w:rsidRPr="00E85B4F">
        <w:t>.</w:t>
      </w:r>
      <w:r>
        <w:t xml:space="preserve"> La investigación científica, humanista y tecnológica se concentra en la UNAM, el IPN, la UAM, el CINVESTAV, el Colegio de México, el Colegio de Posgraduados de la UACH, la Universidad Autónoma de Nuevo León y las universidades de Guadalajara, Veracruz y Yucatán. Es en estas instituciones en donde se pueden encontrar estudios de posgrado con orientación a la investigación</w:t>
      </w:r>
      <w:r w:rsidR="00872EF6">
        <w:t xml:space="preserve"> o de orientación científica</w:t>
      </w:r>
      <w:r>
        <w:t>.</w:t>
      </w:r>
    </w:p>
    <w:p w:rsidR="00A60139" w:rsidRDefault="00A60139" w:rsidP="00E16642"/>
    <w:p w:rsidR="00A60139" w:rsidRDefault="00A60139" w:rsidP="00E16642">
      <w:pPr>
        <w:autoSpaceDE w:val="0"/>
        <w:autoSpaceDN w:val="0"/>
        <w:adjustRightInd w:val="0"/>
      </w:pPr>
      <w:r>
        <w:rPr>
          <w:rFonts w:cs="Arial"/>
        </w:rPr>
        <w:t xml:space="preserve">Dentro de </w:t>
      </w:r>
      <w:r w:rsidRPr="00E85B4F">
        <w:rPr>
          <w:rFonts w:cs="Arial"/>
        </w:rPr>
        <w:t>las instituciones educativas</w:t>
      </w:r>
      <w:r>
        <w:rPr>
          <w:rFonts w:cs="Arial"/>
        </w:rPr>
        <w:t>,</w:t>
      </w:r>
      <w:r w:rsidRPr="00E85B4F">
        <w:rPr>
          <w:rFonts w:cs="Arial"/>
        </w:rPr>
        <w:t xml:space="preserve"> la investigación tiene diferentes objetivos estratégicos, si bien puede ser considerada como un fin en sí misma, también es una </w:t>
      </w:r>
      <w:r>
        <w:rPr>
          <w:rFonts w:cs="Arial"/>
        </w:rPr>
        <w:t xml:space="preserve">forma </w:t>
      </w:r>
      <w:r w:rsidRPr="00E85B4F">
        <w:rPr>
          <w:rFonts w:cs="Arial"/>
        </w:rPr>
        <w:t xml:space="preserve">para </w:t>
      </w:r>
      <w:r>
        <w:rPr>
          <w:rFonts w:cs="Arial"/>
        </w:rPr>
        <w:t>elevar el nivel académico o</w:t>
      </w:r>
      <w:r w:rsidRPr="00E85B4F">
        <w:rPr>
          <w:rFonts w:cs="Arial"/>
        </w:rPr>
        <w:t xml:space="preserve"> un elemento para lograr el posicionamiento en el mercado universitario. </w:t>
      </w:r>
      <w:r w:rsidR="00872EF6">
        <w:rPr>
          <w:rFonts w:cs="Arial"/>
        </w:rPr>
        <w:t>En los últimos años ha tenido un papel fundamental en la formación de alumnos, se le ha considerado como una competencia</w:t>
      </w:r>
      <w:r w:rsidR="00205F16">
        <w:rPr>
          <w:rFonts w:cs="Arial"/>
        </w:rPr>
        <w:t xml:space="preserve"> y se establece</w:t>
      </w:r>
      <w:r w:rsidR="00872EF6">
        <w:rPr>
          <w:rFonts w:cs="Arial"/>
        </w:rPr>
        <w:t xml:space="preserve"> </w:t>
      </w:r>
      <w:r w:rsidR="00872EF6" w:rsidRPr="00872EF6">
        <w:rPr>
          <w:rFonts w:cs="Arial"/>
        </w:rPr>
        <w:t>“como parte de la construcción de una cultura investigativa, reflexiva y orientada al desarrollo en los procesos académicos universitarios</w:t>
      </w:r>
      <w:r w:rsidR="00872EF6">
        <w:rPr>
          <w:rFonts w:cs="Arial"/>
        </w:rPr>
        <w:t xml:space="preserve"> [porque] </w:t>
      </w:r>
      <w:r w:rsidR="00872EF6" w:rsidRPr="00872EF6">
        <w:rPr>
          <w:rFonts w:cs="Arial"/>
        </w:rPr>
        <w:t>permite que los juicios se rijan por una racionalidad que ayuda a abandonar la actitud acientífica en relación con las interpretaciones prefijadas, proceso que, a su vez, da como resultado el cuestionamiento y la modificación de las creencias que suelen atar a los seres humanos” (Campos</w:t>
      </w:r>
      <w:r w:rsidR="00872EF6">
        <w:rPr>
          <w:rFonts w:cs="Arial"/>
        </w:rPr>
        <w:t xml:space="preserve"> Céspedes</w:t>
      </w:r>
      <w:r w:rsidR="00872EF6" w:rsidRPr="00872EF6">
        <w:rPr>
          <w:rFonts w:cs="Arial"/>
        </w:rPr>
        <w:t xml:space="preserve"> &amp; Chinchilla</w:t>
      </w:r>
      <w:r w:rsidR="00872EF6">
        <w:rPr>
          <w:rFonts w:cs="Arial"/>
        </w:rPr>
        <w:t xml:space="preserve"> Jiménez</w:t>
      </w:r>
      <w:r w:rsidR="00872EF6" w:rsidRPr="00872EF6">
        <w:rPr>
          <w:rFonts w:cs="Arial"/>
        </w:rPr>
        <w:t>, 2009, p</w:t>
      </w:r>
      <w:r w:rsidR="00872EF6">
        <w:rPr>
          <w:rFonts w:cs="Arial"/>
        </w:rPr>
        <w:t>p</w:t>
      </w:r>
      <w:r w:rsidR="00872EF6" w:rsidRPr="00872EF6">
        <w:rPr>
          <w:rFonts w:cs="Arial"/>
        </w:rPr>
        <w:t>. 3</w:t>
      </w:r>
      <w:r w:rsidR="00872EF6">
        <w:rPr>
          <w:rFonts w:cs="Arial"/>
        </w:rPr>
        <w:t xml:space="preserve"> y 13</w:t>
      </w:r>
      <w:r w:rsidR="00872EF6" w:rsidRPr="00872EF6">
        <w:rPr>
          <w:rFonts w:cs="Arial"/>
        </w:rPr>
        <w:t>)</w:t>
      </w:r>
      <w:r w:rsidR="00872EF6">
        <w:rPr>
          <w:rFonts w:cs="Arial"/>
        </w:rPr>
        <w:t xml:space="preserve">. </w:t>
      </w:r>
      <w:r w:rsidRPr="00E85B4F">
        <w:rPr>
          <w:rFonts w:cs="Arial"/>
        </w:rPr>
        <w:t>De cualquier manera, la investigación no es una función abstracta, sino que debe ser útil y</w:t>
      </w:r>
      <w:r>
        <w:rPr>
          <w:rFonts w:cs="Arial"/>
        </w:rPr>
        <w:t xml:space="preserve"> atender problemas prioritarios</w:t>
      </w:r>
      <w:sdt>
        <w:sdtPr>
          <w:id w:val="4000569"/>
          <w:citation/>
        </w:sdtPr>
        <w:sdtEndPr/>
        <w:sdtContent>
          <w:r w:rsidR="0072146B">
            <w:fldChar w:fldCharType="begin"/>
          </w:r>
          <w:r>
            <w:instrText xml:space="preserve"> CITATION Álv03 \l 2058 </w:instrText>
          </w:r>
          <w:r w:rsidR="0072146B">
            <w:fldChar w:fldCharType="separate"/>
          </w:r>
          <w:r>
            <w:rPr>
              <w:noProof/>
            </w:rPr>
            <w:t xml:space="preserve"> (Álvarez Bruneliere, 2003)</w:t>
          </w:r>
          <w:r w:rsidR="0072146B">
            <w:fldChar w:fldCharType="end"/>
          </w:r>
        </w:sdtContent>
      </w:sdt>
      <w:r>
        <w:t xml:space="preserve">. </w:t>
      </w:r>
    </w:p>
    <w:p w:rsidR="00872EF6" w:rsidRPr="00E85B4F" w:rsidRDefault="00872EF6" w:rsidP="00E16642">
      <w:pPr>
        <w:autoSpaceDE w:val="0"/>
        <w:autoSpaceDN w:val="0"/>
        <w:adjustRightInd w:val="0"/>
      </w:pPr>
    </w:p>
    <w:p w:rsidR="00A60139" w:rsidRDefault="00A60139" w:rsidP="00E16642">
      <w:r>
        <w:lastRenderedPageBreak/>
        <w:t xml:space="preserve">Sin embargo, la calidad de la investigación sigue siendo desigual entre los diferentes institutos y centros de investigación; además persiste una separación entre éstos y las escuelas y las facultades; resultando (en general) que profesores de tiempo completo </w:t>
      </w:r>
      <w:r w:rsidR="00AB32CA">
        <w:t>solo</w:t>
      </w:r>
      <w:r>
        <w:t xml:space="preserve"> se dedican a realizar labores de docencia y los investigadores no están en las aulas </w:t>
      </w:r>
      <w:sdt>
        <w:sdtPr>
          <w:id w:val="3159423"/>
          <w:citation/>
        </w:sdtPr>
        <w:sdtEndPr/>
        <w:sdtContent>
          <w:r w:rsidR="0072146B">
            <w:fldChar w:fldCharType="begin"/>
          </w:r>
          <w:r>
            <w:instrText xml:space="preserve"> CITATION Alc95 \l 2058 </w:instrText>
          </w:r>
          <w:r w:rsidR="0072146B">
            <w:fldChar w:fldCharType="separate"/>
          </w:r>
          <w:r>
            <w:rPr>
              <w:noProof/>
            </w:rPr>
            <w:t>(Alcántara Santuario, 1995)</w:t>
          </w:r>
          <w:r w:rsidR="0072146B">
            <w:fldChar w:fldCharType="end"/>
          </w:r>
        </w:sdtContent>
      </w:sdt>
      <w:r>
        <w:t>. Surge además la disyuntiva entre: la autonomía y libertad de investigación versus la atención a las demandas del mundo productivo, que en los casos de investigaciones tecnológicas se agrava por la cuestión de la comunicabilidad de resultados o la confiabilidad que signifique producciones económicas.</w:t>
      </w:r>
    </w:p>
    <w:p w:rsidR="00A60139" w:rsidRDefault="00A60139" w:rsidP="00E16642"/>
    <w:p w:rsidR="00A60139" w:rsidRDefault="00A60139" w:rsidP="00E16642">
      <w:r>
        <w:t xml:space="preserve">Una de las causas de lo anterior es que tradicionalmente ha existido una baja inversión en investigación en México y por lo mismo una escasa presencia en el desarrollo científico, para 1990 la investigación mexicana </w:t>
      </w:r>
      <w:r w:rsidR="00AB32CA">
        <w:t>solo</w:t>
      </w:r>
      <w:r>
        <w:t xml:space="preserve"> contribuía con el 0.22% del total de publicaciones científicas y más o menos el mismo porcentaje de citas en la literatura internacional</w:t>
      </w:r>
      <w:r w:rsidR="00D53C85">
        <w:t>;</w:t>
      </w:r>
      <w:r>
        <w:t xml:space="preserve"> esta baja producción está relacionada con el bajo número de científicos calificados, por ejemplo, por cada 10 000 personas en la fuerza laboral </w:t>
      </w:r>
      <w:r w:rsidR="00AB32CA">
        <w:t>solo</w:t>
      </w:r>
      <w:r>
        <w:t xml:space="preserve"> nueve estaban dedicadas a la investigación y el desarrollo tecnológico, datos impresionantes comparados con la tasa en lugares como Gran Bretaña con 98, Suecia 119, Francia 120, Estados Unidos Americanos 122, Japón 141 y Alemania 143 por cada 10 000 </w:t>
      </w:r>
      <w:sdt>
        <w:sdtPr>
          <w:id w:val="3159427"/>
          <w:citation/>
        </w:sdtPr>
        <w:sdtEndPr/>
        <w:sdtContent>
          <w:r w:rsidR="0072146B">
            <w:fldChar w:fldCharType="begin"/>
          </w:r>
          <w:r>
            <w:instrText xml:space="preserve"> CITATION Alc95 \l 2058 </w:instrText>
          </w:r>
          <w:r w:rsidR="0072146B">
            <w:fldChar w:fldCharType="separate"/>
          </w:r>
          <w:r>
            <w:rPr>
              <w:noProof/>
            </w:rPr>
            <w:t>(Alcántara Santuario, 1995)</w:t>
          </w:r>
          <w:r w:rsidR="0072146B">
            <w:fldChar w:fldCharType="end"/>
          </w:r>
        </w:sdtContent>
      </w:sdt>
      <w:r>
        <w:t>.</w:t>
      </w:r>
    </w:p>
    <w:p w:rsidR="00A60139" w:rsidRDefault="00A60139" w:rsidP="00E16642">
      <w:pPr>
        <w:rPr>
          <w:rFonts w:cs="Times New Roman"/>
        </w:rPr>
      </w:pPr>
    </w:p>
    <w:p w:rsidR="00A60139" w:rsidRDefault="00A60139" w:rsidP="00E16642">
      <w:r>
        <w:rPr>
          <w:rFonts w:cs="Times New Roman"/>
        </w:rPr>
        <w:t xml:space="preserve">El estudio realizado por el </w:t>
      </w:r>
      <w:r w:rsidRPr="00E85B4F">
        <w:t xml:space="preserve">Centro de Investigación y Docencia Económicas (CIDE) y por el Instituto de Investigaciones </w:t>
      </w:r>
      <w:r>
        <w:t xml:space="preserve">Jurídicas de la UNAM (IIJ- UNAM) en el 2006, </w:t>
      </w:r>
      <w:r w:rsidR="00D53C85">
        <w:t xml:space="preserve">sobre el Diseño Institucional y la Política de Ciencia y Tecnología en México, </w:t>
      </w:r>
      <w:r>
        <w:t xml:space="preserve">concluye que el alcance real de las políticas </w:t>
      </w:r>
      <w:r w:rsidR="00D53C85">
        <w:t>en dicha materia</w:t>
      </w:r>
      <w:r>
        <w:t xml:space="preserve"> está determinado por la forma en que se generan y el diseño institucional que las ejecuta </w:t>
      </w:r>
      <w:sdt>
        <w:sdtPr>
          <w:id w:val="1077505"/>
          <w:citation/>
        </w:sdtPr>
        <w:sdtEndPr/>
        <w:sdtContent>
          <w:r w:rsidR="0072146B">
            <w:fldChar w:fldCharType="begin"/>
          </w:r>
          <w:r>
            <w:rPr>
              <w:noProof/>
            </w:rPr>
            <w:instrText xml:space="preserve"> CITATION Cab06 \l 2058 </w:instrText>
          </w:r>
          <w:r w:rsidR="0072146B">
            <w:fldChar w:fldCharType="separate"/>
          </w:r>
          <w:r>
            <w:rPr>
              <w:noProof/>
            </w:rPr>
            <w:t>(Cabrero Mendoza, Valadés, &amp; López Ayllón, 2006)</w:t>
          </w:r>
          <w:r w:rsidR="0072146B">
            <w:fldChar w:fldCharType="end"/>
          </w:r>
        </w:sdtContent>
      </w:sdt>
      <w:r>
        <w:t>, al respecto, mu</w:t>
      </w:r>
      <w:r>
        <w:rPr>
          <w:rFonts w:cs="Times New Roman"/>
        </w:rPr>
        <w:t xml:space="preserve">chos autores sugieren que las políticas en México </w:t>
      </w:r>
      <w:r w:rsidR="00AB32CA">
        <w:rPr>
          <w:rFonts w:cs="Times New Roman"/>
        </w:rPr>
        <w:t>solo</w:t>
      </w:r>
      <w:r>
        <w:rPr>
          <w:rFonts w:cs="Times New Roman"/>
        </w:rPr>
        <w:t xml:space="preserve"> atienden al contexto inmediato </w:t>
      </w:r>
      <w:sdt>
        <w:sdtPr>
          <w:rPr>
            <w:rFonts w:cs="Times New Roman"/>
          </w:rPr>
          <w:id w:val="2625695"/>
          <w:citation/>
        </w:sdtPr>
        <w:sdtEndPr/>
        <w:sdtContent>
          <w:r w:rsidR="0072146B">
            <w:rPr>
              <w:rFonts w:cs="Times New Roman"/>
            </w:rPr>
            <w:fldChar w:fldCharType="begin"/>
          </w:r>
          <w:r>
            <w:rPr>
              <w:rFonts w:cs="Times New Roman"/>
            </w:rPr>
            <w:instrText xml:space="preserve"> CITATION Arr06 \l 2058 </w:instrText>
          </w:r>
          <w:r w:rsidR="0072146B">
            <w:rPr>
              <w:rFonts w:cs="Times New Roman"/>
            </w:rPr>
            <w:fldChar w:fldCharType="separate"/>
          </w:r>
          <w:r w:rsidRPr="00B64A6C">
            <w:rPr>
              <w:rFonts w:cs="Times New Roman"/>
              <w:noProof/>
            </w:rPr>
            <w:t>(Arredondo Galván &amp; Pérez Rivera, 2006)</w:t>
          </w:r>
          <w:r w:rsidR="0072146B">
            <w:rPr>
              <w:rFonts w:cs="Times New Roman"/>
            </w:rPr>
            <w:fldChar w:fldCharType="end"/>
          </w:r>
        </w:sdtContent>
      </w:sdt>
      <w:r>
        <w:rPr>
          <w:rFonts w:cs="Times New Roman"/>
        </w:rPr>
        <w:t>.</w:t>
      </w:r>
    </w:p>
    <w:p w:rsidR="00A60139" w:rsidRPr="004414B2" w:rsidRDefault="00A60139" w:rsidP="00E16642"/>
    <w:p w:rsidR="00A60139" w:rsidRPr="00E85B4F" w:rsidRDefault="00A60139" w:rsidP="00E16642">
      <w:r>
        <w:lastRenderedPageBreak/>
        <w:t>Puede decirse entonces, que e</w:t>
      </w:r>
      <w:r w:rsidRPr="00E85B4F">
        <w:t xml:space="preserve">l crecimiento del sector educativo tiene como principal obstáculo la falta de un proyecto nacional que ubique a las instituciones </w:t>
      </w:r>
      <w:r w:rsidR="00205F16">
        <w:t>y a</w:t>
      </w:r>
      <w:r w:rsidR="00F865DB">
        <w:t xml:space="preserve"> la </w:t>
      </w:r>
      <w:r w:rsidR="00872EF6">
        <w:t>investigación</w:t>
      </w:r>
      <w:r w:rsidR="00F865DB">
        <w:t>,</w:t>
      </w:r>
      <w:r w:rsidR="00872EF6">
        <w:t xml:space="preserve"> </w:t>
      </w:r>
      <w:r w:rsidRPr="00E85B4F">
        <w:t xml:space="preserve">en un programa de desarrollo sustentable, socialmente relevante y económicamente viable, ya que muchas de ellas </w:t>
      </w:r>
      <w:r>
        <w:t xml:space="preserve">permanecen con </w:t>
      </w:r>
      <w:r w:rsidRPr="00E85B4F">
        <w:t>menos del 0.4% del PIB nacional</w:t>
      </w:r>
      <w:r>
        <w:t xml:space="preserve"> como subsidio gubernamental</w:t>
      </w:r>
      <w:sdt>
        <w:sdtPr>
          <w:id w:val="527701"/>
          <w:citation/>
        </w:sdtPr>
        <w:sdtEndPr/>
        <w:sdtContent>
          <w:r w:rsidR="0072146B" w:rsidRPr="00E85B4F">
            <w:fldChar w:fldCharType="begin"/>
          </w:r>
          <w:r w:rsidRPr="00E85B4F">
            <w:instrText xml:space="preserve"> CITATION And07 \l 2058 </w:instrText>
          </w:r>
          <w:r w:rsidR="0072146B" w:rsidRPr="00E85B4F">
            <w:fldChar w:fldCharType="separate"/>
          </w:r>
          <w:r>
            <w:rPr>
              <w:noProof/>
            </w:rPr>
            <w:t xml:space="preserve"> (Andión Gamboa, 2007)</w:t>
          </w:r>
          <w:r w:rsidR="0072146B" w:rsidRPr="00E85B4F">
            <w:fldChar w:fldCharType="end"/>
          </w:r>
        </w:sdtContent>
      </w:sdt>
      <w:r>
        <w:t>.</w:t>
      </w:r>
    </w:p>
    <w:p w:rsidR="00A60139" w:rsidRDefault="00A60139" w:rsidP="00E16642"/>
    <w:p w:rsidR="00A60139" w:rsidRDefault="00A60139" w:rsidP="00E16642">
      <w:r w:rsidRPr="004A4183">
        <w:rPr>
          <w:rFonts w:cs="Century Gothic"/>
        </w:rPr>
        <w:t>De acuerdo con el C</w:t>
      </w:r>
      <w:r w:rsidR="00D53C85">
        <w:rPr>
          <w:rFonts w:cs="Century Gothic"/>
        </w:rPr>
        <w:t xml:space="preserve">onsejo Nacional de Ciencia y Tecnología y </w:t>
      </w:r>
      <w:r w:rsidRPr="004A4183">
        <w:rPr>
          <w:rFonts w:cs="Century Gothic"/>
        </w:rPr>
        <w:t>la S</w:t>
      </w:r>
      <w:r w:rsidR="00D53C85">
        <w:rPr>
          <w:rFonts w:cs="Century Gothic"/>
        </w:rPr>
        <w:t xml:space="preserve">ubsecretaría de </w:t>
      </w:r>
      <w:r w:rsidRPr="004A4183">
        <w:rPr>
          <w:rFonts w:cs="Century Gothic"/>
        </w:rPr>
        <w:t>E</w:t>
      </w:r>
      <w:r w:rsidR="00D53C85">
        <w:rPr>
          <w:rFonts w:cs="Century Gothic"/>
        </w:rPr>
        <w:t xml:space="preserve">ducación </w:t>
      </w:r>
      <w:r w:rsidRPr="004A4183">
        <w:rPr>
          <w:rFonts w:cs="Century Gothic"/>
        </w:rPr>
        <w:t>S</w:t>
      </w:r>
      <w:r w:rsidR="00D53C85">
        <w:rPr>
          <w:rFonts w:cs="Century Gothic"/>
        </w:rPr>
        <w:t>uperior</w:t>
      </w:r>
      <w:r w:rsidR="00D53C85" w:rsidRPr="00D53C85">
        <w:rPr>
          <w:rFonts w:cs="Century Gothic"/>
        </w:rPr>
        <w:t xml:space="preserve"> </w:t>
      </w:r>
      <w:sdt>
        <w:sdtPr>
          <w:rPr>
            <w:rFonts w:cs="Century Gothic"/>
          </w:rPr>
          <w:id w:val="1229952"/>
          <w:citation/>
        </w:sdtPr>
        <w:sdtEndPr/>
        <w:sdtContent>
          <w:r w:rsidR="0072146B">
            <w:rPr>
              <w:rFonts w:cs="Century Gothic"/>
            </w:rPr>
            <w:fldChar w:fldCharType="begin"/>
          </w:r>
          <w:r w:rsidR="00D53C85">
            <w:rPr>
              <w:rFonts w:cs="Century Gothic"/>
            </w:rPr>
            <w:instrText xml:space="preserve"> CITATION MarcadorDePosición3 \t  \l 2058  </w:instrText>
          </w:r>
          <w:r w:rsidR="0072146B">
            <w:rPr>
              <w:rFonts w:cs="Century Gothic"/>
            </w:rPr>
            <w:fldChar w:fldCharType="separate"/>
          </w:r>
          <w:r w:rsidR="00D53C85" w:rsidRPr="00D53C85">
            <w:rPr>
              <w:rFonts w:cs="Century Gothic"/>
              <w:noProof/>
            </w:rPr>
            <w:t>(CONACYT &amp; SES, 2008)</w:t>
          </w:r>
          <w:r w:rsidR="0072146B">
            <w:rPr>
              <w:rFonts w:cs="Century Gothic"/>
            </w:rPr>
            <w:fldChar w:fldCharType="end"/>
          </w:r>
        </w:sdtContent>
      </w:sdt>
      <w:r w:rsidRPr="004A4183">
        <w:rPr>
          <w:rFonts w:cs="Century Gothic"/>
        </w:rPr>
        <w:t>, México enfrenta retos como el aprovechamiento de esfuerzos y avances de la comunidad científica; posicionamient</w:t>
      </w:r>
      <w:r w:rsidR="00872EF6">
        <w:rPr>
          <w:rFonts w:cs="Century Gothic"/>
        </w:rPr>
        <w:t xml:space="preserve">o del país en investigación y </w:t>
      </w:r>
      <w:r w:rsidRPr="004A4183">
        <w:rPr>
          <w:rFonts w:cs="Century Gothic"/>
        </w:rPr>
        <w:t xml:space="preserve">desarrollo de acuerdo a su peso económico, es decir, como país emergente; valoración social del conocimiento </w:t>
      </w:r>
      <w:r w:rsidR="00872EF6">
        <w:rPr>
          <w:rFonts w:cs="Century Gothic"/>
        </w:rPr>
        <w:t xml:space="preserve">e </w:t>
      </w:r>
      <w:r w:rsidRPr="004A4183">
        <w:rPr>
          <w:rFonts w:cs="Century Gothic"/>
        </w:rPr>
        <w:t xml:space="preserve"> innovación a través de su contribución al desarrollo integral, mejoramiento de la calidad de vida y el fortalecimiento de la competitividad; participación en la innovación del conocimiento; y el impulso a la formación, a la investigación y a la innovación todo ello en el marco de la sociedad del conocimiento caracterizada por “el avance de las tecnologías de la información y la comunicación, la digitalización, la genética con sus repercusiones en los órdenes jurídico y moral, la biotecnología, los nuevos materiales, la microelectrónica, la nanotecnología” (p. 5).</w:t>
      </w:r>
      <w:r>
        <w:rPr>
          <w:rFonts w:cs="Century Gothic"/>
        </w:rPr>
        <w:t xml:space="preserve"> </w:t>
      </w:r>
      <w:r>
        <w:t xml:space="preserve">De acuerdo con Álvarez </w:t>
      </w:r>
      <w:proofErr w:type="spellStart"/>
      <w:r>
        <w:t>Bruneliere</w:t>
      </w:r>
      <w:proofErr w:type="spellEnd"/>
      <w:r>
        <w:t xml:space="preserve"> </w:t>
      </w:r>
      <w:sdt>
        <w:sdtPr>
          <w:id w:val="4000568"/>
          <w:citation/>
        </w:sdtPr>
        <w:sdtEndPr/>
        <w:sdtContent>
          <w:r w:rsidR="0072146B">
            <w:fldChar w:fldCharType="begin"/>
          </w:r>
          <w:r>
            <w:instrText xml:space="preserve"> CITATION Álv03 \n  \t  \l 2058  </w:instrText>
          </w:r>
          <w:r w:rsidR="0072146B">
            <w:fldChar w:fldCharType="separate"/>
          </w:r>
          <w:r>
            <w:rPr>
              <w:noProof/>
            </w:rPr>
            <w:t>(2003)</w:t>
          </w:r>
          <w:r w:rsidR="0072146B">
            <w:fldChar w:fldCharType="end"/>
          </w:r>
        </w:sdtContent>
      </w:sdt>
      <w:r>
        <w:t xml:space="preserve">, en el 2001 aproximadamente el 10% de la población económicamente activa </w:t>
      </w:r>
      <w:r w:rsidR="00D53C85">
        <w:t>contaba</w:t>
      </w:r>
      <w:r>
        <w:t xml:space="preserve"> con educación superior; en el rango de 25 a 34 años, </w:t>
      </w:r>
      <w:r w:rsidR="00AB32CA">
        <w:t>solo</w:t>
      </w:r>
      <w:r>
        <w:t xml:space="preserve"> el 0.7% correspond</w:t>
      </w:r>
      <w:r w:rsidR="00D53C85">
        <w:t>ía</w:t>
      </w:r>
      <w:r>
        <w:t xml:space="preserve"> a los niveles de Especialidad, Maestría y Doctorado.</w:t>
      </w:r>
    </w:p>
    <w:p w:rsidR="00A60139" w:rsidRDefault="00A60139" w:rsidP="00E16642"/>
    <w:p w:rsidR="00A60139" w:rsidRPr="00E85B4F" w:rsidRDefault="00A60139" w:rsidP="00E16642">
      <w:r>
        <w:t xml:space="preserve">Por lo anterior se han realizado esfuerzos para promover la calidad en la educación superior del país. </w:t>
      </w:r>
      <w:r w:rsidRPr="00E85B4F">
        <w:t xml:space="preserve">En los ochenta la ANUIES </w:t>
      </w:r>
      <w:r w:rsidRPr="00E85B4F">
        <w:rPr>
          <w:noProof/>
        </w:rPr>
        <w:t>(en Andión Gamboa, 2007)</w:t>
      </w:r>
      <w:r w:rsidR="00D53C85">
        <w:rPr>
          <w:noProof/>
        </w:rPr>
        <w:t>,</w:t>
      </w:r>
      <w:r w:rsidRPr="00E85B4F">
        <w:rPr>
          <w:noProof/>
        </w:rPr>
        <w:t xml:space="preserve"> </w:t>
      </w:r>
      <w:r w:rsidRPr="00E85B4F">
        <w:t>estableció siete indicadores en torno a la evaluación de la función de las instituciones de educación superior</w:t>
      </w:r>
      <w:r>
        <w:t>, que aún son considerados vigentes</w:t>
      </w:r>
      <w:r w:rsidRPr="00E85B4F">
        <w:t>:</w:t>
      </w:r>
    </w:p>
    <w:p w:rsidR="00A60139" w:rsidRPr="00E85B4F" w:rsidRDefault="00A60139" w:rsidP="00E16642">
      <w:pPr>
        <w:pStyle w:val="Prrafodelista"/>
        <w:numPr>
          <w:ilvl w:val="0"/>
          <w:numId w:val="20"/>
        </w:numPr>
      </w:pPr>
      <w:r w:rsidRPr="00E85B4F">
        <w:t>Congruencia externa: relevancia social.</w:t>
      </w:r>
    </w:p>
    <w:p w:rsidR="00A60139" w:rsidRPr="00E85B4F" w:rsidRDefault="00A60139" w:rsidP="00E16642">
      <w:pPr>
        <w:pStyle w:val="Prrafodelista"/>
        <w:numPr>
          <w:ilvl w:val="0"/>
          <w:numId w:val="20"/>
        </w:numPr>
      </w:pPr>
      <w:r w:rsidRPr="00E85B4F">
        <w:t>Congruencia interna: características de insumos y procesos.</w:t>
      </w:r>
    </w:p>
    <w:p w:rsidR="00A60139" w:rsidRPr="00E85B4F" w:rsidRDefault="00A60139" w:rsidP="00E16642">
      <w:pPr>
        <w:pStyle w:val="Prrafodelista"/>
        <w:numPr>
          <w:ilvl w:val="0"/>
          <w:numId w:val="20"/>
        </w:numPr>
      </w:pPr>
      <w:r w:rsidRPr="00E85B4F">
        <w:t>Eficacia interna: nivel de logro de los objetivos de corto y mediano plazos.</w:t>
      </w:r>
    </w:p>
    <w:p w:rsidR="00A60139" w:rsidRPr="00E85B4F" w:rsidRDefault="00A60139" w:rsidP="00E16642">
      <w:pPr>
        <w:pStyle w:val="Prrafodelista"/>
        <w:numPr>
          <w:ilvl w:val="0"/>
          <w:numId w:val="20"/>
        </w:numPr>
      </w:pPr>
      <w:r w:rsidRPr="00E85B4F">
        <w:lastRenderedPageBreak/>
        <w:t>Eficacia externa: impacto social o logro de los objetivos a largo plazo.</w:t>
      </w:r>
    </w:p>
    <w:p w:rsidR="00A60139" w:rsidRPr="00E85B4F" w:rsidRDefault="00A60139" w:rsidP="00E16642">
      <w:pPr>
        <w:pStyle w:val="Prrafodelista"/>
        <w:numPr>
          <w:ilvl w:val="0"/>
          <w:numId w:val="20"/>
        </w:numPr>
      </w:pPr>
      <w:r w:rsidRPr="00E85B4F">
        <w:t>Eficiencia: racionalidad en el uso de los recursos.</w:t>
      </w:r>
    </w:p>
    <w:p w:rsidR="00A60139" w:rsidRPr="00E85B4F" w:rsidRDefault="00A60139" w:rsidP="00E16642">
      <w:pPr>
        <w:pStyle w:val="Prrafodelista"/>
        <w:numPr>
          <w:ilvl w:val="0"/>
          <w:numId w:val="20"/>
        </w:numPr>
      </w:pPr>
      <w:r w:rsidRPr="00E85B4F">
        <w:t>Costo-beneficio: ganancia económica en razón al costo de la operación.</w:t>
      </w:r>
    </w:p>
    <w:p w:rsidR="00A60139" w:rsidRPr="00E85B4F" w:rsidRDefault="00A60139" w:rsidP="00E16642">
      <w:pPr>
        <w:pStyle w:val="Prrafodelista"/>
        <w:numPr>
          <w:ilvl w:val="0"/>
          <w:numId w:val="20"/>
        </w:numPr>
      </w:pPr>
      <w:r w:rsidRPr="00E85B4F">
        <w:t xml:space="preserve">Costo-eficacia: costo operativo del sistema en función de los resultados. </w:t>
      </w:r>
    </w:p>
    <w:p w:rsidR="00A60139" w:rsidRPr="004414B2" w:rsidRDefault="00A60139" w:rsidP="00E16642"/>
    <w:p w:rsidR="00A60139" w:rsidRDefault="00A60139" w:rsidP="00E16642">
      <w:r>
        <w:t xml:space="preserve">Aunque estos esfuerzos, de acuerdo con Andión Gamboa </w:t>
      </w:r>
      <w:sdt>
        <w:sdtPr>
          <w:id w:val="16648827"/>
          <w:citation/>
        </w:sdtPr>
        <w:sdtEndPr/>
        <w:sdtContent>
          <w:r w:rsidR="0072146B">
            <w:fldChar w:fldCharType="begin"/>
          </w:r>
          <w:r>
            <w:instrText xml:space="preserve"> CITATION And07 \n  \t  \l 2058  </w:instrText>
          </w:r>
          <w:r w:rsidR="0072146B">
            <w:fldChar w:fldCharType="separate"/>
          </w:r>
          <w:r>
            <w:rPr>
              <w:noProof/>
            </w:rPr>
            <w:t>(2007)</w:t>
          </w:r>
          <w:r w:rsidR="0072146B">
            <w:fldChar w:fldCharType="end"/>
          </w:r>
        </w:sdtContent>
      </w:sdt>
      <w:r>
        <w:t>, han surgido como reacción a los criterios de calidad que organismos internacionales como la Organización para la Cooperación y el Des</w:t>
      </w:r>
      <w:r w:rsidR="00D53C85">
        <w:t xml:space="preserve">arrollo Económico (OCDE) o </w:t>
      </w:r>
      <w:r>
        <w:t xml:space="preserve">la UNESCO han promovido. </w:t>
      </w:r>
      <w:r w:rsidRPr="00714D72">
        <w:t xml:space="preserve">De acuerdo con el mismo autor, </w:t>
      </w:r>
      <w:r w:rsidR="00AB32CA">
        <w:t>solo</w:t>
      </w:r>
      <w:r w:rsidRPr="00714D72">
        <w:t xml:space="preserve"> unas cuantas instituciones </w:t>
      </w:r>
      <w:r>
        <w:t xml:space="preserve">en México </w:t>
      </w:r>
      <w:r w:rsidRPr="00714D72">
        <w:t>se consideran de excelencia o buena calidad</w:t>
      </w:r>
      <w:r>
        <w:t>.</w:t>
      </w:r>
    </w:p>
    <w:p w:rsidR="00A60139" w:rsidRDefault="00A60139" w:rsidP="00E16642"/>
    <w:p w:rsidR="00A60139" w:rsidRDefault="00A60139" w:rsidP="00E16642">
      <w:r>
        <w:t>La determinación de la calidad educativa supone una serie de análisis y valoraciones de los diferentes componentes del quehacer educativo</w:t>
      </w:r>
      <w:r w:rsidRPr="00714D72">
        <w:t xml:space="preserve"> </w:t>
      </w:r>
      <w:r>
        <w:t>y usualmente se limita a los proceso de generación y aplicación del conocimiento que aún siendo un punto importante deja de lado la estructura y el proceso de formación. Es necesario diferenciar entre la acreditación, por un lado, que significa un proceso de valoración el cual indica si un programa tiene un estatus establecido y se realiza de manera externa derivada de políticas públicas, y por otro, la auditoría y la evaluación que cada programa puede realizar de manera interna.</w:t>
      </w:r>
    </w:p>
    <w:p w:rsidR="00A60139" w:rsidRDefault="00A60139" w:rsidP="00E16642"/>
    <w:p w:rsidR="00A60139" w:rsidRDefault="00A60139" w:rsidP="00E16642">
      <w:pPr>
        <w:rPr>
          <w:rFonts w:cs="AGaramond-Regular"/>
        </w:rPr>
      </w:pPr>
      <w:r>
        <w:t>En general, organismos públicos y privados como la Secretaría de Educación Pública, la A</w:t>
      </w:r>
      <w:r w:rsidR="00D53C85">
        <w:t xml:space="preserve">sociación </w:t>
      </w:r>
      <w:r>
        <w:t>N</w:t>
      </w:r>
      <w:r w:rsidR="00D53C85">
        <w:t xml:space="preserve">acional de </w:t>
      </w:r>
      <w:r>
        <w:t>U</w:t>
      </w:r>
      <w:r w:rsidR="00D53C85">
        <w:t xml:space="preserve">niversidades e </w:t>
      </w:r>
      <w:r>
        <w:t>I</w:t>
      </w:r>
      <w:r w:rsidR="00D53C85">
        <w:t xml:space="preserve">nstituciones de </w:t>
      </w:r>
      <w:r>
        <w:t>E</w:t>
      </w:r>
      <w:r w:rsidR="00D53C85">
        <w:t xml:space="preserve">ducación </w:t>
      </w:r>
      <w:r>
        <w:t>S</w:t>
      </w:r>
      <w:r w:rsidR="00D53C85">
        <w:t>uperior</w:t>
      </w:r>
      <w:r>
        <w:t xml:space="preserve"> o el Centro Nacional de Evaluación para la Educación Superior se basan en siete indicadores para evaluar la calidad de la educación superior: </w:t>
      </w:r>
      <w:r w:rsidRPr="007215D8">
        <w:t xml:space="preserve">la relevancia social; las características de insumos y procesos; el nivel de logro de los objetivos de corto y mediano plazos; el impacto social o logro de los objetivos a largo plazo; el uso racional de los recursos; el costo-beneficio y el operativo del sistema en función de </w:t>
      </w:r>
      <w:r>
        <w:t xml:space="preserve">los </w:t>
      </w:r>
      <w:r w:rsidRPr="00E66849">
        <w:t xml:space="preserve">resultados </w:t>
      </w:r>
      <w:sdt>
        <w:sdtPr>
          <w:id w:val="1077407"/>
          <w:citation/>
        </w:sdtPr>
        <w:sdtEndPr/>
        <w:sdtContent>
          <w:r w:rsidR="00B20C48">
            <w:fldChar w:fldCharType="begin"/>
          </w:r>
          <w:r w:rsidR="00B20C48">
            <w:instrText xml:space="preserve"> CITATION And07 \l 2058 </w:instrText>
          </w:r>
          <w:r w:rsidR="00B20C48">
            <w:fldChar w:fldCharType="separate"/>
          </w:r>
          <w:r w:rsidRPr="00B64A6C">
            <w:rPr>
              <w:noProof/>
            </w:rPr>
            <w:t>(Andión Gamboa, 2007)</w:t>
          </w:r>
          <w:r w:rsidR="00B20C48">
            <w:rPr>
              <w:noProof/>
            </w:rPr>
            <w:fldChar w:fldCharType="end"/>
          </w:r>
        </w:sdtContent>
      </w:sdt>
      <w:r w:rsidRPr="00E66849">
        <w:t>.</w:t>
      </w:r>
      <w:r>
        <w:t xml:space="preserve"> Otros organismos, que también participan en este proceso evaluativo son el Consejo Nacional de Ciencia y Tecnología (CONACyT), los Comités Interinstitucionales para la Evaluación de la Educación Superior (CIEES), la Federación de Instituciones Mexicanas </w:t>
      </w:r>
      <w:r>
        <w:lastRenderedPageBreak/>
        <w:t>Particulares de Educación Superior (</w:t>
      </w:r>
      <w:r w:rsidRPr="001953E6">
        <w:t>FIMPES</w:t>
      </w:r>
      <w:r>
        <w:t>) o el Consejo Mexicano de Estudios de Posgrado (COMEPO)</w:t>
      </w:r>
      <w:r w:rsidRPr="001953E6">
        <w:t>.</w:t>
      </w:r>
      <w:r>
        <w:t xml:space="preserve"> En este sentido e</w:t>
      </w:r>
      <w:r>
        <w:rPr>
          <w:rFonts w:cs="AGaramond-Regular"/>
        </w:rPr>
        <w:t>l CONACyT es un actor de gran importancia para el impulso y desarrollo de la calidad</w:t>
      </w:r>
      <w:sdt>
        <w:sdtPr>
          <w:rPr>
            <w:rFonts w:cs="AGaramond-Regular"/>
          </w:rPr>
          <w:id w:val="2625696"/>
          <w:citation/>
        </w:sdtPr>
        <w:sdtEndPr/>
        <w:sdtContent>
          <w:r w:rsidR="0072146B">
            <w:rPr>
              <w:rFonts w:cs="AGaramond-Regular"/>
            </w:rPr>
            <w:fldChar w:fldCharType="begin"/>
          </w:r>
          <w:r>
            <w:rPr>
              <w:rFonts w:cs="AGaramond-Regular"/>
            </w:rPr>
            <w:instrText xml:space="preserve"> CITATION Arr06 \l 2058 </w:instrText>
          </w:r>
          <w:r w:rsidR="0072146B">
            <w:rPr>
              <w:rFonts w:cs="AGaramond-Regular"/>
            </w:rPr>
            <w:fldChar w:fldCharType="separate"/>
          </w:r>
          <w:r>
            <w:rPr>
              <w:rFonts w:cs="AGaramond-Regular"/>
              <w:noProof/>
            </w:rPr>
            <w:t xml:space="preserve"> </w:t>
          </w:r>
          <w:r w:rsidRPr="00B64A6C">
            <w:rPr>
              <w:rFonts w:cs="AGaramond-Regular"/>
              <w:noProof/>
            </w:rPr>
            <w:t>(Arredondo Galván &amp; Pérez Rivera, 2006)</w:t>
          </w:r>
          <w:r w:rsidR="0072146B">
            <w:rPr>
              <w:rFonts w:cs="AGaramond-Regular"/>
            </w:rPr>
            <w:fldChar w:fldCharType="end"/>
          </w:r>
        </w:sdtContent>
      </w:sdt>
      <w:r>
        <w:rPr>
          <w:rFonts w:cs="AGaramond-Regular"/>
        </w:rPr>
        <w:t>, es el encargado de</w:t>
      </w:r>
      <w:r w:rsidR="00872EF6">
        <w:rPr>
          <w:rFonts w:cs="AGaramond-Regular"/>
        </w:rPr>
        <w:t xml:space="preserve"> gestionar e</w:t>
      </w:r>
      <w:r>
        <w:rPr>
          <w:rFonts w:cs="AGaramond-Regular"/>
        </w:rPr>
        <w:t>l Padrón Nacional de Posgrados de Calidad</w:t>
      </w:r>
      <w:r w:rsidR="00872EF6">
        <w:rPr>
          <w:rFonts w:cs="AGaramond-Regular"/>
        </w:rPr>
        <w:t>;</w:t>
      </w:r>
      <w:r>
        <w:rPr>
          <w:rFonts w:cs="AGaramond-Regular"/>
        </w:rPr>
        <w:t xml:space="preserve"> y cualquier institución mexicana, ya sea con posgrados de orientación profesionalizante o de orientación a la investigación, deberá adscribirse a los criterios establecidos por dicho Consejo.</w:t>
      </w:r>
    </w:p>
    <w:p w:rsidR="00A60139" w:rsidRDefault="00A60139" w:rsidP="00E16642"/>
    <w:p w:rsidR="00A60139" w:rsidRDefault="00A60139" w:rsidP="00E16642">
      <w:r>
        <w:t xml:space="preserve">El Instituto Politécnico Nacional en su actual Modelo Educativo </w:t>
      </w:r>
      <w:r w:rsidRPr="0018017B">
        <w:t xml:space="preserve">ha </w:t>
      </w:r>
      <w:r>
        <w:t>determinado como punto central al posgrado y a la investigación para el desarrollo de sus actividades, por lo que ha homologado, en medida de lo posible, sus criterios de evaluación interna con los criterios del CONACyT.</w:t>
      </w:r>
    </w:p>
    <w:p w:rsidR="00A60139" w:rsidRDefault="00A60139" w:rsidP="00E16642"/>
    <w:p w:rsidR="00A60139" w:rsidRDefault="00A60139" w:rsidP="00E16642">
      <w:r>
        <w:t xml:space="preserve">La </w:t>
      </w:r>
      <w:r w:rsidR="00872EF6">
        <w:t>M</w:t>
      </w:r>
      <w:r>
        <w:t xml:space="preserve">aestría en </w:t>
      </w:r>
      <w:r w:rsidR="00872EF6">
        <w:t>C</w:t>
      </w:r>
      <w:r>
        <w:t xml:space="preserve">iencia en Metodología de la Ciencia es uno de los programas de posgrado impartidos en el IPN, tiene una historia de poco más de 25 años, y un devenir entre la orientación </w:t>
      </w:r>
      <w:r w:rsidR="00AF0713">
        <w:t>de</w:t>
      </w:r>
      <w:r w:rsidR="00D00265">
        <w:t xml:space="preserve"> investiga</w:t>
      </w:r>
      <w:r w:rsidR="00AF0713">
        <w:t>ción</w:t>
      </w:r>
      <w:r w:rsidR="00D00265" w:rsidRPr="00D00265">
        <w:t xml:space="preserve"> </w:t>
      </w:r>
      <w:r>
        <w:t xml:space="preserve">y la orientación </w:t>
      </w:r>
      <w:r w:rsidR="00D00265">
        <w:t>profesionalizante</w:t>
      </w:r>
      <w:r>
        <w:t>. Por lo que en este nuevo marco, el del Modelo Educativo y el de los criterios del CONACyT se hablará de las posibilidades que tiene para posicionarse como un posgrado medular para el IPN.</w:t>
      </w:r>
    </w:p>
    <w:p w:rsidR="00A60139" w:rsidRDefault="00A60139" w:rsidP="00E16642"/>
    <w:p w:rsidR="00872EF6" w:rsidRDefault="00872EF6" w:rsidP="00E16642">
      <w:r>
        <w:t>Lo anterior únicamente se logrará en el momento en que se defina con claridad la orientación de la maestría, que aunque está registrada como un posgrado en ciencia</w:t>
      </w:r>
      <w:r w:rsidR="00D00265">
        <w:t>s</w:t>
      </w:r>
      <w:r w:rsidR="006D1652">
        <w:t xml:space="preserve"> (orientación a la investigación)</w:t>
      </w:r>
      <w:r w:rsidR="00D00265">
        <w:t>, no ha sido llevado a cabo bajo los criterios que en esta clasificación se establecen, lo cual también ha derivado en dos cierres del programa, resultados de evaluaciones no confiables (entendiendo por esto que las mediciones no son estables a través del tiempo) y conflictos tanto académicos y hasta ideológicos.</w:t>
      </w:r>
    </w:p>
    <w:p w:rsidR="00872EF6" w:rsidRDefault="00872EF6" w:rsidP="00E16642"/>
    <w:p w:rsidR="00D00265" w:rsidRDefault="00D00265" w:rsidP="00E16642">
      <w:r>
        <w:t xml:space="preserve">Precisamente esta indefinición es la que motiva el </w:t>
      </w:r>
      <w:r w:rsidR="00AF0713">
        <w:t>desarrollo del presente trabajo</w:t>
      </w:r>
      <w:r>
        <w:t xml:space="preserve">, que inició con una pregunta que para algunos parecía sencilla y sin sentido ¿qué es la metodología? Haciendo un análisis retrospectivo de lo que motivó a los </w:t>
      </w:r>
      <w:r>
        <w:lastRenderedPageBreak/>
        <w:t>docentes</w:t>
      </w:r>
      <w:r w:rsidR="00AF0713">
        <w:t>,</w:t>
      </w:r>
      <w:r>
        <w:t xml:space="preserve"> a quienes les pareció que no era un problema de investigación</w:t>
      </w:r>
      <w:r w:rsidR="00AF0713">
        <w:t xml:space="preserve"> la definición de dicho término, puede decirse que el nivel en el que situaban dicha interrogante era un nivel pragmático, permeado por cualquiera de las dos nociones de metodología, que tienen los ajenos a este campo: como una serie de pasos a seguir para realizar un trabajo de investigación o como la disciplina desde la que se estudian los métodos. </w:t>
      </w:r>
    </w:p>
    <w:p w:rsidR="00AF0713" w:rsidRDefault="00AF0713" w:rsidP="00E16642"/>
    <w:p w:rsidR="00AF0713" w:rsidRDefault="00AF0713" w:rsidP="00E16642">
      <w:r>
        <w:t>Sin embargo, la cuestión sobre la metodología es epistemo</w:t>
      </w:r>
      <w:r w:rsidR="002B5523">
        <w:t xml:space="preserve">lógica y no pragmática, la idea que se asume en </w:t>
      </w:r>
      <w:r>
        <w:t xml:space="preserve">este trabajo es que la metodología es la reflexión desde la teoría acerca de los métodos de investigación, se hace énfasis en </w:t>
      </w:r>
      <w:r w:rsidR="002B5523">
        <w:t xml:space="preserve">el </w:t>
      </w:r>
      <w:r>
        <w:t>contexto que da la teoría.</w:t>
      </w:r>
      <w:r w:rsidR="00542DDD">
        <w:t xml:space="preserve"> Esta reflexión no debe ser exclusiva de las disciplinas en desarrollo, aunque son</w:t>
      </w:r>
      <w:r w:rsidR="006D1652">
        <w:t xml:space="preserve"> los autores</w:t>
      </w:r>
      <w:r w:rsidR="00542DDD">
        <w:t xml:space="preserve"> al realizarla</w:t>
      </w:r>
      <w:r w:rsidR="002B5523">
        <w:t xml:space="preserve"> desde estos ámbitos</w:t>
      </w:r>
      <w:r w:rsidR="006D1652">
        <w:t>, los que</w:t>
      </w:r>
      <w:r w:rsidR="00542DDD">
        <w:t xml:space="preserve"> cometen el error de tomar a la filosofía de la ciencia como contexto, partiendo de la idea de ciencia unificada que se trató de imponer en la década de 1920, resultando en establecer dos categorías de los métodos de investigación (cuanti</w:t>
      </w:r>
      <w:r w:rsidR="00F865DB">
        <w:t>tativos y cualitativos)</w:t>
      </w:r>
      <w:r w:rsidR="006D1652">
        <w:t xml:space="preserve">. </w:t>
      </w:r>
      <w:r w:rsidR="002B5523">
        <w:t>Así queda desprovista la reflexión sobre el método de una teoría, es decir, tratando a los métodos de manera independiente.</w:t>
      </w:r>
    </w:p>
    <w:p w:rsidR="00AF0713" w:rsidRDefault="00AF0713" w:rsidP="00E16642"/>
    <w:p w:rsidR="002B5523" w:rsidRDefault="00F865DB" w:rsidP="00E16642">
      <w:r>
        <w:t>Por lo anterior, e</w:t>
      </w:r>
      <w:r w:rsidR="00A60139">
        <w:t xml:space="preserve">n el primer capítulo </w:t>
      </w:r>
      <w:r w:rsidR="002B5523">
        <w:t>se establecen los argumentos que permiten postular la idea de la metodología</w:t>
      </w:r>
      <w:r w:rsidR="00AA6C55">
        <w:t xml:space="preserve"> en su forma epistemológica y descartar la noción de serie de pasos o estudio de los métodos independientemente de la teoría, con la finalidad de enmarcar las diferentes orientaciones que ha tenido la Maestría en Ciencias en Metodología de la Ciencia durante su impartición en el IPN, tanto en su primera sede, el ESIME, como en su ubicación actual.</w:t>
      </w:r>
    </w:p>
    <w:p w:rsidR="002B5523" w:rsidRDefault="002B5523" w:rsidP="00E16642"/>
    <w:p w:rsidR="00A60139" w:rsidRDefault="00A60139" w:rsidP="00E16642">
      <w:r>
        <w:t>En el segundo capítulo se expone la forma de evaluación del CONACyT, se centra en la diferenciación entre los posgrados profesionalizantes y los orientados a la investigación. El capítulo tiene una doble función, servirá como base para realizar las</w:t>
      </w:r>
      <w:r w:rsidR="00F865DB">
        <w:t xml:space="preserve"> conclusiones de este documento </w:t>
      </w:r>
      <w:r>
        <w:t xml:space="preserve">y también tiene utilidad para cualquier programa que intente ingresar al Padrón Nacional de Posgrados de Calidad. El proceso de evaluación que realiza el CONACyT ha sido objeto de diferentes </w:t>
      </w:r>
      <w:r>
        <w:lastRenderedPageBreak/>
        <w:t>críticas y modificaciones, ya que al parecer establece criterios generales sin diferenciar entre las orientaciones de los posgrados, aquí se recopila información de diferentes</w:t>
      </w:r>
      <w:r w:rsidRPr="00621E6A">
        <w:t xml:space="preserve"> fuentes </w:t>
      </w:r>
      <w:r>
        <w:t>para</w:t>
      </w:r>
      <w:r w:rsidRPr="00621E6A">
        <w:t xml:space="preserve"> aclara</w:t>
      </w:r>
      <w:r>
        <w:t>r</w:t>
      </w:r>
      <w:r w:rsidRPr="00621E6A">
        <w:t xml:space="preserve"> los dos enfoques.</w:t>
      </w:r>
    </w:p>
    <w:p w:rsidR="00A60139" w:rsidRDefault="00A60139" w:rsidP="00E16642"/>
    <w:p w:rsidR="00A60139" w:rsidRDefault="00A60139" w:rsidP="00E16642">
      <w:r>
        <w:t xml:space="preserve">En el tercer capítulo se presenta el Instituto Politécnico Nacional que es la institución de educación superior en donde se imparte el posgrado </w:t>
      </w:r>
      <w:r w:rsidR="009F7A3D">
        <w:t>de MCMC</w:t>
      </w:r>
      <w:r>
        <w:t xml:space="preserve"> y se explica el Modelo Educativo</w:t>
      </w:r>
      <w:r w:rsidR="00F865DB">
        <w:t xml:space="preserve">. Se considera que, siendo un programa dirigido a la formación de investigadores, tiene un lugar primordial bajo el contexto educativo que toma en cuenta la investigación como eje rector de la formación de estudiantes. Además tiene relevancia si se considera que </w:t>
      </w:r>
      <w:r w:rsidR="009F7A3D">
        <w:t>no se puede enseñar a investigar bajo la forma tradicional de enseñanza sino a partir de un modelo constructivista.</w:t>
      </w:r>
    </w:p>
    <w:p w:rsidR="00751A71" w:rsidRDefault="00751A71" w:rsidP="00E16642">
      <w:pPr>
        <w:spacing w:after="200"/>
        <w:jc w:val="left"/>
      </w:pPr>
      <w:r>
        <w:br w:type="page"/>
      </w:r>
    </w:p>
    <w:p w:rsidR="000D6AD6" w:rsidRDefault="000D6AD6" w:rsidP="00E16642">
      <w:pPr>
        <w:sectPr w:rsidR="000D6AD6" w:rsidSect="00086BBD">
          <w:headerReference w:type="default" r:id="rId16"/>
          <w:pgSz w:w="12240" w:h="15840" w:code="1"/>
          <w:pgMar w:top="1418" w:right="1701" w:bottom="1418" w:left="1701" w:header="709" w:footer="709" w:gutter="0"/>
          <w:pgNumType w:fmt="lowerRoman"/>
          <w:cols w:space="708"/>
          <w:docGrid w:linePitch="360"/>
        </w:sectPr>
      </w:pPr>
    </w:p>
    <w:p w:rsidR="00356E67" w:rsidRPr="001C3F30" w:rsidRDefault="00356E67" w:rsidP="00E16642">
      <w:pPr>
        <w:jc w:val="center"/>
        <w:rPr>
          <w:b/>
        </w:rPr>
      </w:pPr>
      <w:r w:rsidRPr="001C3F30">
        <w:rPr>
          <w:b/>
        </w:rPr>
        <w:lastRenderedPageBreak/>
        <w:t>CAPÍTULO 1</w:t>
      </w:r>
      <w:bookmarkEnd w:id="1"/>
    </w:p>
    <w:p w:rsidR="00356E67" w:rsidRPr="00EB5CF0" w:rsidRDefault="00356E67" w:rsidP="00E16642"/>
    <w:p w:rsidR="00356E67" w:rsidRPr="00EB5CF0" w:rsidRDefault="00843D5F" w:rsidP="00E16642">
      <w:pPr>
        <w:pStyle w:val="Ttulo1"/>
      </w:pPr>
      <w:bookmarkStart w:id="10" w:name="_Toc308691478"/>
      <w:r w:rsidRPr="00EB5CF0">
        <w:t xml:space="preserve">Maestría en </w:t>
      </w:r>
      <w:r w:rsidR="00436C36">
        <w:t>C</w:t>
      </w:r>
      <w:r w:rsidRPr="00EB5CF0">
        <w:t xml:space="preserve">iencias en </w:t>
      </w:r>
      <w:r w:rsidR="00436C36">
        <w:t>M</w:t>
      </w:r>
      <w:r w:rsidRPr="00EB5CF0">
        <w:t xml:space="preserve">etodología de la </w:t>
      </w:r>
      <w:r w:rsidR="00436C36">
        <w:t>C</w:t>
      </w:r>
      <w:r w:rsidRPr="00EB5CF0">
        <w:t>iencia</w:t>
      </w:r>
      <w:bookmarkEnd w:id="2"/>
      <w:bookmarkEnd w:id="3"/>
      <w:bookmarkEnd w:id="4"/>
      <w:bookmarkEnd w:id="5"/>
      <w:r w:rsidRPr="00EB5CF0">
        <w:t xml:space="preserve">: un debate entre la orientación </w:t>
      </w:r>
      <w:r w:rsidR="00666BA9">
        <w:t xml:space="preserve">a la investigación y la </w:t>
      </w:r>
      <w:r w:rsidRPr="00EB5CF0">
        <w:t xml:space="preserve">orientación </w:t>
      </w:r>
      <w:r w:rsidR="00666BA9">
        <w:t>profesionalizante</w:t>
      </w:r>
      <w:bookmarkEnd w:id="10"/>
    </w:p>
    <w:p w:rsidR="00356E67" w:rsidRPr="00EB5CF0" w:rsidRDefault="00356E67" w:rsidP="00E16642"/>
    <w:p w:rsidR="005A3DCF" w:rsidRDefault="00356E67" w:rsidP="00E16642">
      <w:r w:rsidRPr="00EB5CF0">
        <w:t>La Maestría en Ciencias en Metodología de la Ciencia (MCMC) es uno de los programas de posgrado que se imparte en el IPN, la sede actual es el Centro de Investigaciones Económi</w:t>
      </w:r>
      <w:r w:rsidR="005A3DCF">
        <w:t>cas, Administrativas y Sociales</w:t>
      </w:r>
      <w:sdt>
        <w:sdtPr>
          <w:id w:val="3396001"/>
          <w:citation/>
        </w:sdtPr>
        <w:sdtEndPr/>
        <w:sdtContent>
          <w:r w:rsidR="0072146B" w:rsidRPr="00EB5CF0">
            <w:fldChar w:fldCharType="begin"/>
          </w:r>
          <w:r w:rsidRPr="00EB5CF0">
            <w:instrText xml:space="preserve"> CITATION MarcadorDePosición1 \l 2058  </w:instrText>
          </w:r>
          <w:r w:rsidR="0072146B" w:rsidRPr="00EB5CF0">
            <w:fldChar w:fldCharType="separate"/>
          </w:r>
          <w:r w:rsidRPr="00EB5CF0">
            <w:rPr>
              <w:noProof/>
            </w:rPr>
            <w:t xml:space="preserve"> (CIECAS, 2009)</w:t>
          </w:r>
          <w:r w:rsidR="0072146B" w:rsidRPr="00EB5CF0">
            <w:fldChar w:fldCharType="end"/>
          </w:r>
        </w:sdtContent>
      </w:sdt>
      <w:r w:rsidR="005A3DCF">
        <w:t>. Es un programa que tiene más de 25 años dentro del Instituto y a lo largo de su historia se ha visto inmerso en un debate</w:t>
      </w:r>
      <w:r w:rsidR="000D4A6F">
        <w:t>,</w:t>
      </w:r>
      <w:r w:rsidR="005A3DCF">
        <w:t xml:space="preserve"> siempre académico</w:t>
      </w:r>
      <w:r w:rsidR="000D4A6F">
        <w:t>,</w:t>
      </w:r>
      <w:r w:rsidR="001863AC">
        <w:t xml:space="preserve"> </w:t>
      </w:r>
      <w:r w:rsidR="00FD32A6">
        <w:t>que</w:t>
      </w:r>
      <w:r w:rsidR="001863AC">
        <w:t xml:space="preserve"> gira en torno a su</w:t>
      </w:r>
      <w:r w:rsidR="005A3DCF">
        <w:t xml:space="preserve"> orientación, su participación dentro del IPN, su programa curricular, los docentes que imparten clases (además</w:t>
      </w:r>
      <w:r w:rsidR="001863AC">
        <w:t xml:space="preserve"> de la perspectiva que tiene cada uno sobre la </w:t>
      </w:r>
      <w:r w:rsidR="005A3DCF">
        <w:t xml:space="preserve">metodología), entre otras cuestiones; que a pesar de mantenerse en los límites académicos parece que está permeado por argumentos político-institucionales y en ocasiones hasta ideológicos. </w:t>
      </w:r>
    </w:p>
    <w:p w:rsidR="005A3DCF" w:rsidRDefault="005A3DCF" w:rsidP="00E16642"/>
    <w:p w:rsidR="00356E67" w:rsidRPr="00EB5CF0" w:rsidRDefault="00356E67" w:rsidP="00E16642">
      <w:r w:rsidRPr="00EB5CF0">
        <w:t>En el CIECAS</w:t>
      </w:r>
      <w:r w:rsidR="00DB33F4">
        <w:t>,</w:t>
      </w:r>
      <w:r w:rsidRPr="00EB5CF0">
        <w:t xml:space="preserve"> además se ofrecen otras dos opciones de estudios de posgrado: la Maestría en Política y Gestión del Cambio Tecnológico, y la Maestría en Economía y Gestión Municipal</w:t>
      </w:r>
      <w:sdt>
        <w:sdtPr>
          <w:id w:val="1549135"/>
          <w:citation/>
        </w:sdtPr>
        <w:sdtEndPr/>
        <w:sdtContent>
          <w:r w:rsidR="0072146B" w:rsidRPr="00EB5CF0">
            <w:fldChar w:fldCharType="begin"/>
          </w:r>
          <w:r w:rsidRPr="00EB5CF0">
            <w:instrText xml:space="preserve"> CITATION CIE09 \l 2058  </w:instrText>
          </w:r>
          <w:r w:rsidR="0072146B" w:rsidRPr="00EB5CF0">
            <w:fldChar w:fldCharType="separate"/>
          </w:r>
          <w:r w:rsidRPr="00EB5CF0">
            <w:rPr>
              <w:noProof/>
            </w:rPr>
            <w:t xml:space="preserve"> (CIECAS, 2011)</w:t>
          </w:r>
          <w:r w:rsidR="0072146B" w:rsidRPr="00EB5CF0">
            <w:fldChar w:fldCharType="end"/>
          </w:r>
        </w:sdtContent>
      </w:sdt>
      <w:r w:rsidR="00DB33F4">
        <w:t>,</w:t>
      </w:r>
      <w:r w:rsidRPr="00EB5CF0">
        <w:t xml:space="preserve"> que tienen una orientación profesionalizante. La primera </w:t>
      </w:r>
      <w:r w:rsidR="00DB33F4">
        <w:t xml:space="preserve">se </w:t>
      </w:r>
      <w:r w:rsidR="00FD32A6">
        <w:t>estableció</w:t>
      </w:r>
      <w:r w:rsidR="00DB33F4">
        <w:t xml:space="preserve"> antes de que la </w:t>
      </w:r>
      <w:r w:rsidRPr="00EB5CF0">
        <w:t>MCMC</w:t>
      </w:r>
      <w:r w:rsidR="00DB33F4">
        <w:t xml:space="preserve"> fuera integrada al </w:t>
      </w:r>
      <w:r w:rsidRPr="00EB5CF0">
        <w:t>CIECAS</w:t>
      </w:r>
      <w:r w:rsidR="00FD32A6">
        <w:t xml:space="preserve">, pero </w:t>
      </w:r>
      <w:r w:rsidR="00DB33F4">
        <w:t xml:space="preserve">ambas comparten una </w:t>
      </w:r>
      <w:r w:rsidRPr="00EB5CF0">
        <w:t xml:space="preserve">historia de </w:t>
      </w:r>
      <w:r w:rsidR="00DB33F4">
        <w:t xml:space="preserve">apoyos y vínculos </w:t>
      </w:r>
      <w:r w:rsidRPr="00EB5CF0">
        <w:t>que más adelante será abordada.</w:t>
      </w:r>
    </w:p>
    <w:p w:rsidR="00356E67" w:rsidRPr="00EB5CF0" w:rsidRDefault="00356E67" w:rsidP="00E16642"/>
    <w:p w:rsidR="00356E67" w:rsidRPr="00EB5CF0" w:rsidRDefault="00356E67" w:rsidP="00E16642">
      <w:r w:rsidRPr="00EB5CF0">
        <w:t xml:space="preserve">La Maestría en </w:t>
      </w:r>
      <w:r w:rsidRPr="00DB33F4">
        <w:t>Ciencias</w:t>
      </w:r>
      <w:r w:rsidRPr="00EB5CF0">
        <w:t xml:space="preserve"> en Metodología de la Ciencia tiene como objetivo general: “Conducir al alumno a la reflexión crítica sobre el dominio conceptual y material de las ciencias</w:t>
      </w:r>
      <w:r w:rsidR="00DB33F4">
        <w:t>,</w:t>
      </w:r>
      <w:r w:rsidRPr="00EB5CF0">
        <w:t xml:space="preserve"> desde la perspectiva histórica, filosófica, epistemológica y social</w:t>
      </w:r>
      <w:r w:rsidR="00DB33F4">
        <w:t>,</w:t>
      </w:r>
      <w:r w:rsidRPr="00EB5CF0">
        <w:t xml:space="preserve"> con el propósito de formarlo como científico de la metodología en el campo de su disciplina de origen”. Para ello se han propuesto tres líneas de Aplicación y Generación del Conocimiento</w:t>
      </w:r>
      <w:r w:rsidRPr="00EB5CF0">
        <w:rPr>
          <w:rStyle w:val="Refdenotaalpie"/>
          <w:rFonts w:cs="Arial"/>
          <w:szCs w:val="24"/>
        </w:rPr>
        <w:footnoteReference w:id="2"/>
      </w:r>
      <w:r w:rsidRPr="00EB5CF0">
        <w:t xml:space="preserve">: i) Bases Epistemológicas de la Metodología, ii) La </w:t>
      </w:r>
      <w:r w:rsidRPr="00EB5CF0">
        <w:lastRenderedPageBreak/>
        <w:t xml:space="preserve">Metodología en los Estudios Sociales y iii) Filosofía e Historia de la Ciencia. El programa está dirigido a licenciados de cualquier área del saber, con la condición de que se integren a alguna de las Líneas antes mencionadas </w:t>
      </w:r>
      <w:sdt>
        <w:sdtPr>
          <w:id w:val="3686892"/>
          <w:citation/>
        </w:sdtPr>
        <w:sdtEndPr/>
        <w:sdtContent>
          <w:r w:rsidR="0072146B" w:rsidRPr="00EB5CF0">
            <w:fldChar w:fldCharType="begin"/>
          </w:r>
          <w:r w:rsidRPr="00EB5CF0">
            <w:instrText xml:space="preserve"> CITATION CIE101 \t  \m CIE10 \t  \l 2058  </w:instrText>
          </w:r>
          <w:r w:rsidR="0072146B" w:rsidRPr="00EB5CF0">
            <w:fldChar w:fldCharType="separate"/>
          </w:r>
          <w:r w:rsidRPr="00EB5CF0">
            <w:rPr>
              <w:noProof/>
            </w:rPr>
            <w:t>(CIECAS, 2010a; CIECAS, 2010b)</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Actualmente la Maestría se establece como un programa en Ciencias</w:t>
      </w:r>
      <w:r w:rsidR="001863AC">
        <w:t xml:space="preserve"> de acuerdo a los estándares del IPN y esta clasificación </w:t>
      </w:r>
      <w:r w:rsidRPr="00EB5CF0">
        <w:t xml:space="preserve">presenta criterios análogos a los posgrados con </w:t>
      </w:r>
      <w:r w:rsidR="000D4A6F">
        <w:t>“</w:t>
      </w:r>
      <w:r w:rsidRPr="00EB5CF0">
        <w:t>Orientación a la Investigación</w:t>
      </w:r>
      <w:r w:rsidR="000D4A6F">
        <w:t>”</w:t>
      </w:r>
      <w:r w:rsidRPr="00EB5CF0">
        <w:t xml:space="preserve"> del CONACyT; es decir, se diferencia de los programas “en Administración” o “en Ingeniería con orientación profesional” del IPN y de los programas de “Orientación Profesionalizante” del CONACyT</w:t>
      </w:r>
      <w:r w:rsidRPr="00EB5CF0">
        <w:rPr>
          <w:rStyle w:val="Refdenotaalpie"/>
          <w:rFonts w:cs="Arial"/>
          <w:szCs w:val="24"/>
        </w:rPr>
        <w:footnoteReference w:id="3"/>
      </w:r>
      <w:r w:rsidRPr="00EB5CF0">
        <w:t xml:space="preserve">. </w:t>
      </w:r>
    </w:p>
    <w:p w:rsidR="00356E67" w:rsidRPr="00EB5CF0" w:rsidRDefault="00356E67" w:rsidP="00E16642"/>
    <w:p w:rsidR="00356E67" w:rsidRPr="00EB5CF0" w:rsidRDefault="00356E67" w:rsidP="00E16642">
      <w:r w:rsidRPr="00EB5CF0">
        <w:t>Los posgrados en Ciencias de acuerdo con el Reglamento de Estudios de Posgrado del IPN</w:t>
      </w:r>
      <w:sdt>
        <w:sdtPr>
          <w:id w:val="4780438"/>
          <w:citation/>
        </w:sdtPr>
        <w:sdtEndPr/>
        <w:sdtContent>
          <w:r w:rsidR="0072146B" w:rsidRPr="00EB5CF0">
            <w:fldChar w:fldCharType="begin"/>
          </w:r>
          <w:r w:rsidRPr="00EB5CF0">
            <w:instrText xml:space="preserve"> CITATION Ins10 \n  \t  \l 2058  </w:instrText>
          </w:r>
          <w:r w:rsidR="0072146B" w:rsidRPr="00EB5CF0">
            <w:fldChar w:fldCharType="separate"/>
          </w:r>
          <w:r w:rsidRPr="00EB5CF0">
            <w:rPr>
              <w:noProof/>
            </w:rPr>
            <w:t xml:space="preserve"> (2006a)</w:t>
          </w:r>
          <w:r w:rsidR="0072146B" w:rsidRPr="00EB5CF0">
            <w:fldChar w:fldCharType="end"/>
          </w:r>
        </w:sdtContent>
      </w:sdt>
      <w:r w:rsidRPr="00EB5CF0">
        <w:t xml:space="preserve">, tienen “por objeto ampliar los conocimientos del alumno en un campo o disciplina, habilitándolo para iniciar actividades de investigación, la aplicación innovadora del conocimiento científico o técnico, así como para el ejercicio de la práctica académica o profesional con alto nivel”, en la MCMC en el CIECAS </w:t>
      </w:r>
      <w:sdt>
        <w:sdtPr>
          <w:id w:val="4780617"/>
          <w:citation/>
        </w:sdtPr>
        <w:sdtEndPr/>
        <w:sdtContent>
          <w:r w:rsidR="0072146B" w:rsidRPr="00EB5CF0">
            <w:fldChar w:fldCharType="begin"/>
          </w:r>
          <w:r w:rsidRPr="00EB5CF0">
            <w:instrText xml:space="preserve"> CITATION CIE101 \n  \t  \l 2058  </w:instrText>
          </w:r>
          <w:r w:rsidR="0072146B" w:rsidRPr="00EB5CF0">
            <w:fldChar w:fldCharType="separate"/>
          </w:r>
          <w:r w:rsidRPr="00EB5CF0">
            <w:rPr>
              <w:noProof/>
            </w:rPr>
            <w:t>(2010a)</w:t>
          </w:r>
          <w:r w:rsidR="0072146B" w:rsidRPr="00EB5CF0">
            <w:fldChar w:fldCharType="end"/>
          </w:r>
        </w:sdtContent>
      </w:sdt>
      <w:r w:rsidRPr="00EB5CF0">
        <w:t>, actualmente se subraya la finalidad primordial de formar egresados capaces de iniciar actividades formales de investigación.</w:t>
      </w:r>
    </w:p>
    <w:p w:rsidR="00356E67" w:rsidRPr="00EB5CF0" w:rsidRDefault="00356E67" w:rsidP="00E16642"/>
    <w:p w:rsidR="00356E67" w:rsidRDefault="00356E67" w:rsidP="00E16642">
      <w:r w:rsidRPr="00EB5CF0">
        <w:t xml:space="preserve">Pareciera que está demás el remarcar la orientación de la MCMC y la correspondencia entre las definiciones de los posgrados del IPN (en ciencias o profesional) y del CONACyT (de investigación o profesionalizante), pero por tratarse, la Maestría en Ciencias en Metodología de la Ciencia, de un programa perteneciente a una disciplina que se ubica en el vértice entre la Lógica, la Epistemología y la Filosofía de la Ciencia, siempre ha fluctuado entre las dos categorías. Es decir, el devenir de la Maestría ha estado entre definirse como un </w:t>
      </w:r>
      <w:r w:rsidRPr="00EB5CF0">
        <w:lastRenderedPageBreak/>
        <w:t>programa con orientación a la investigación o uno profesionalizante, esta discrepancia será el eje</w:t>
      </w:r>
      <w:r w:rsidR="00666BA9">
        <w:t xml:space="preserve"> del</w:t>
      </w:r>
      <w:r w:rsidRPr="00EB5CF0">
        <w:t xml:space="preserve"> análisis </w:t>
      </w:r>
      <w:r w:rsidR="00666BA9">
        <w:t>presentado</w:t>
      </w:r>
      <w:r w:rsidRPr="00EB5CF0">
        <w:t xml:space="preserve"> en este </w:t>
      </w:r>
      <w:r w:rsidR="000D4A6F">
        <w:t>apartado</w:t>
      </w:r>
      <w:r w:rsidRPr="00EB5CF0">
        <w:t>.</w:t>
      </w:r>
    </w:p>
    <w:p w:rsidR="00111C53" w:rsidRDefault="00111C53" w:rsidP="00E16642"/>
    <w:p w:rsidR="00A125B4" w:rsidRDefault="00A47F50" w:rsidP="00E16642">
      <w:r>
        <w:t>Como</w:t>
      </w:r>
      <w:r w:rsidR="00B97B91">
        <w:t xml:space="preserve"> marco teórico-conceptual</w:t>
      </w:r>
      <w:r>
        <w:t xml:space="preserve">, es este capítulo se explicará el vínculo de </w:t>
      </w:r>
      <w:r w:rsidR="00B97B91">
        <w:t>las orientaciones de los programas de posgrados con dos constructos manejados durante todo e</w:t>
      </w:r>
      <w:r>
        <w:t>ste trabajo. Hablando de metodología, un programa en ciencias (IPN) o con orientación a la investigación (CONACyT), se enfoca</w:t>
      </w:r>
      <w:r w:rsidR="00DF0730">
        <w:t>rá</w:t>
      </w:r>
      <w:r>
        <w:t xml:space="preserve"> a la Metodología de la ciencia, rama de la Fil</w:t>
      </w:r>
      <w:r w:rsidRPr="00A47F50">
        <w:t xml:space="preserve">osofía de la Ciencia en donde se </w:t>
      </w:r>
      <w:r w:rsidR="00DF0730">
        <w:t xml:space="preserve">confluye </w:t>
      </w:r>
      <w:r w:rsidRPr="00A47F50">
        <w:t>también la epistemología, la sociología de la ciencia, la his</w:t>
      </w:r>
      <w:r>
        <w:t>toria de la ciencia entre otras. Por otro lado</w:t>
      </w:r>
      <w:r w:rsidR="000D4A6F">
        <w:t>,</w:t>
      </w:r>
      <w:r>
        <w:t xml:space="preserve"> un programa profesional (IPN) o profesionalizante (CONACyT)</w:t>
      </w:r>
      <w:r w:rsidR="000D4A6F">
        <w:t>, en metodología</w:t>
      </w:r>
      <w:r>
        <w:t xml:space="preserve"> est</w:t>
      </w:r>
      <w:r w:rsidR="00DF0730">
        <w:t>ar</w:t>
      </w:r>
      <w:r>
        <w:t xml:space="preserve">á dirigido </w:t>
      </w:r>
      <w:r w:rsidR="00277E0A">
        <w:t xml:space="preserve">a </w:t>
      </w:r>
      <w:r>
        <w:t xml:space="preserve">lo que </w:t>
      </w:r>
      <w:r w:rsidR="00277E0A">
        <w:t xml:space="preserve">comúnmente se nombra </w:t>
      </w:r>
      <w:r w:rsidR="00DF0730">
        <w:t xml:space="preserve">el </w:t>
      </w:r>
      <w:r w:rsidR="00277E0A">
        <w:t>método de la investigación</w:t>
      </w:r>
      <w:r w:rsidR="00DF0730">
        <w:t xml:space="preserve"> (proceso)</w:t>
      </w:r>
      <w:r w:rsidR="00277E0A">
        <w:t>.</w:t>
      </w:r>
      <w:r w:rsidR="00B97B91">
        <w:t xml:space="preserve"> </w:t>
      </w:r>
    </w:p>
    <w:p w:rsidR="00366FC1" w:rsidRDefault="00366FC1" w:rsidP="00E16642"/>
    <w:p w:rsidR="00CB33F4" w:rsidRDefault="00CB33F4" w:rsidP="00E16642"/>
    <w:p w:rsidR="00CB33F4" w:rsidRDefault="00CB33F4" w:rsidP="003E1A0D">
      <w:pPr>
        <w:pStyle w:val="Ttulo2"/>
      </w:pPr>
      <w:bookmarkStart w:id="11" w:name="_Toc308691479"/>
      <w:r>
        <w:t>Metodología</w:t>
      </w:r>
      <w:bookmarkEnd w:id="11"/>
    </w:p>
    <w:p w:rsidR="0017284D" w:rsidRPr="0017284D" w:rsidRDefault="0017284D" w:rsidP="00E16642"/>
    <w:p w:rsidR="00546DC8" w:rsidRDefault="00CB33F4" w:rsidP="00546DC8">
      <w:r>
        <w:t>A manera de establecer las bases que permitan otorgar validez al análisis de la orientación de la MCMC</w:t>
      </w:r>
      <w:r w:rsidR="0017284D">
        <w:t>,</w:t>
      </w:r>
      <w:r>
        <w:t xml:space="preserve"> se recurre</w:t>
      </w:r>
      <w:r w:rsidR="0043100B">
        <w:t xml:space="preserve"> </w:t>
      </w:r>
      <w:r w:rsidR="000D4A6F">
        <w:t>en primera instancia</w:t>
      </w:r>
      <w:r w:rsidR="0043100B">
        <w:t>,</w:t>
      </w:r>
      <w:r>
        <w:t xml:space="preserve"> a la definición etimológica del término metodología</w:t>
      </w:r>
      <w:r w:rsidR="00546DC8">
        <w:t xml:space="preserve">, la idea es retomada del </w:t>
      </w:r>
      <w:r w:rsidR="000D4A6F">
        <w:t>trabajo</w:t>
      </w:r>
      <w:r w:rsidR="00546DC8">
        <w:t xml:space="preserve"> de </w:t>
      </w:r>
      <w:r w:rsidR="00546DC8" w:rsidRPr="00546DC8">
        <w:t xml:space="preserve">Rodríguez Salazar </w:t>
      </w:r>
      <w:r w:rsidR="00546DC8">
        <w:t>y Caballero Castellanos (en proceso) en el que se conceptualiza a la m</w:t>
      </w:r>
      <w:r w:rsidR="00546DC8" w:rsidRPr="00546DC8">
        <w:t xml:space="preserve">etodología </w:t>
      </w:r>
      <w:r w:rsidR="00546DC8">
        <w:t>a través de un análisis e</w:t>
      </w:r>
      <w:r w:rsidR="00546DC8" w:rsidRPr="00546DC8">
        <w:t>timológic</w:t>
      </w:r>
      <w:r w:rsidR="00546DC8">
        <w:t>o y filológico</w:t>
      </w:r>
      <w:r w:rsidR="000D4A6F">
        <w:t xml:space="preserve"> además de otros procesos</w:t>
      </w:r>
      <w:r w:rsidR="00546DC8">
        <w:t xml:space="preserve">, </w:t>
      </w:r>
      <w:r w:rsidR="000D4A6F">
        <w:t>de dicho trabajo también</w:t>
      </w:r>
      <w:r w:rsidR="00546DC8">
        <w:t xml:space="preserve"> se </w:t>
      </w:r>
      <w:r w:rsidR="000D4A6F">
        <w:t xml:space="preserve">recogen </w:t>
      </w:r>
      <w:r w:rsidR="00546DC8">
        <w:t xml:space="preserve">dos de las divisiones </w:t>
      </w:r>
      <w:r w:rsidR="000D4A6F">
        <w:t xml:space="preserve">etimológicas </w:t>
      </w:r>
      <w:r w:rsidR="00546DC8">
        <w:t xml:space="preserve">que </w:t>
      </w:r>
      <w:r w:rsidR="000D4A6F">
        <w:t xml:space="preserve">presentan </w:t>
      </w:r>
      <w:r w:rsidR="00546DC8">
        <w:t>del término y varios de los argumentos que ellos</w:t>
      </w:r>
      <w:r w:rsidR="00DF0730">
        <w:t xml:space="preserve"> esgrimen</w:t>
      </w:r>
      <w:r w:rsidR="00546DC8">
        <w:t>.</w:t>
      </w:r>
    </w:p>
    <w:p w:rsidR="00546DC8" w:rsidRDefault="00546DC8" w:rsidP="00546DC8"/>
    <w:p w:rsidR="00277E0A" w:rsidRDefault="00546DC8" w:rsidP="00546DC8">
      <w:r>
        <w:t>Por ejemplo, a la par de estos autores, se considera que el latín y e</w:t>
      </w:r>
      <w:r w:rsidR="0017284D" w:rsidRPr="0017284D">
        <w:t xml:space="preserve">l griego </w:t>
      </w:r>
      <w:r w:rsidR="000D4A6F">
        <w:t>son</w:t>
      </w:r>
      <w:r w:rsidR="0017284D" w:rsidRPr="0017284D">
        <w:t xml:space="preserve"> lenguas confiables y cultas, puesto que permanecen inmutables,</w:t>
      </w:r>
      <w:r w:rsidR="000D4A6F">
        <w:t xml:space="preserve"> así</w:t>
      </w:r>
      <w:r w:rsidR="0017284D">
        <w:t xml:space="preserve"> permi</w:t>
      </w:r>
      <w:r w:rsidR="003F6836">
        <w:t>tirá</w:t>
      </w:r>
      <w:r>
        <w:t xml:space="preserve">n establecer </w:t>
      </w:r>
      <w:r w:rsidR="003F6836">
        <w:t>una referencia</w:t>
      </w:r>
      <w:r w:rsidR="0017284D">
        <w:t xml:space="preserve"> muy básica (básica: porque no responde a los cuestionamientos en su totalidad), </w:t>
      </w:r>
      <w:r w:rsidR="003F6836">
        <w:t xml:space="preserve">pero </w:t>
      </w:r>
      <w:r w:rsidR="0017284D">
        <w:t>que será punto de partida para la conceptualización de Metodología de la Ciencia.</w:t>
      </w:r>
    </w:p>
    <w:p w:rsidR="0017284D" w:rsidRDefault="0017284D" w:rsidP="00E16642"/>
    <w:p w:rsidR="0017284D" w:rsidRDefault="0017284D" w:rsidP="00E16642">
      <w:r>
        <w:lastRenderedPageBreak/>
        <w:t xml:space="preserve">Para presentar este primer análisis del término, se establece que etimológicamente puede </w:t>
      </w:r>
      <w:r w:rsidR="000D4A6F">
        <w:t>dividirse</w:t>
      </w:r>
      <w:r>
        <w:t xml:space="preserve"> a </w:t>
      </w:r>
      <w:r w:rsidR="000D4A6F">
        <w:t>la palabra Metodología de las siguientes maneras</w:t>
      </w:r>
      <w:r>
        <w:t>:</w:t>
      </w:r>
      <w:r w:rsidRPr="0017284D">
        <w:t xml:space="preserve"> primero</w:t>
      </w:r>
      <w:r>
        <w:t xml:space="preserve"> siendo</w:t>
      </w:r>
      <w:r w:rsidRPr="0017284D">
        <w:t xml:space="preserve"> la división más ordinaria en dos palabras </w:t>
      </w:r>
      <w:r>
        <w:t>“</w:t>
      </w:r>
      <w:r w:rsidRPr="0017284D">
        <w:rPr>
          <w:i/>
        </w:rPr>
        <w:t>método</w:t>
      </w:r>
      <w:r>
        <w:rPr>
          <w:i/>
        </w:rPr>
        <w:t>”</w:t>
      </w:r>
      <w:r w:rsidRPr="0017284D">
        <w:t xml:space="preserve"> y </w:t>
      </w:r>
      <w:r>
        <w:t>“</w:t>
      </w:r>
      <w:r w:rsidR="0043100B">
        <w:rPr>
          <w:i/>
        </w:rPr>
        <w:t>logi</w:t>
      </w:r>
      <w:r w:rsidRPr="0017284D">
        <w:rPr>
          <w:i/>
        </w:rPr>
        <w:t>a</w:t>
      </w:r>
      <w:r>
        <w:rPr>
          <w:i/>
        </w:rPr>
        <w:t>”</w:t>
      </w:r>
      <w:r>
        <w:t>;</w:t>
      </w:r>
      <w:r w:rsidRPr="0017284D">
        <w:t xml:space="preserve"> </w:t>
      </w:r>
      <w:r>
        <w:t>y segundo, otra posibilidad es dividirla en los</w:t>
      </w:r>
      <w:r w:rsidRPr="0017284D">
        <w:t xml:space="preserve"> </w:t>
      </w:r>
      <w:r>
        <w:t>v</w:t>
      </w:r>
      <w:r w:rsidRPr="0017284D">
        <w:t xml:space="preserve">ocablos </w:t>
      </w:r>
      <w:r>
        <w:t>“</w:t>
      </w:r>
      <w:proofErr w:type="spellStart"/>
      <w:r w:rsidRPr="0017284D">
        <w:rPr>
          <w:i/>
        </w:rPr>
        <w:t>metha</w:t>
      </w:r>
      <w:proofErr w:type="spellEnd"/>
      <w:r>
        <w:rPr>
          <w:i/>
        </w:rPr>
        <w:t>”</w:t>
      </w:r>
      <w:r w:rsidRPr="0017284D">
        <w:t xml:space="preserve">, </w:t>
      </w:r>
      <w:r>
        <w:t>“</w:t>
      </w:r>
      <w:proofErr w:type="spellStart"/>
      <w:r w:rsidRPr="0017284D">
        <w:rPr>
          <w:i/>
        </w:rPr>
        <w:t>odos</w:t>
      </w:r>
      <w:proofErr w:type="spellEnd"/>
      <w:r>
        <w:rPr>
          <w:i/>
        </w:rPr>
        <w:t>”</w:t>
      </w:r>
      <w:r w:rsidRPr="0017284D">
        <w:rPr>
          <w:i/>
        </w:rPr>
        <w:t>,</w:t>
      </w:r>
      <w:r w:rsidRPr="0017284D">
        <w:t xml:space="preserve"> </w:t>
      </w:r>
      <w:r>
        <w:t>“</w:t>
      </w:r>
      <w:r w:rsidRPr="0017284D">
        <w:rPr>
          <w:i/>
        </w:rPr>
        <w:t>logos</w:t>
      </w:r>
      <w:r>
        <w:rPr>
          <w:i/>
        </w:rPr>
        <w:t>”</w:t>
      </w:r>
      <w:r w:rsidRPr="0017284D">
        <w:rPr>
          <w:i/>
        </w:rPr>
        <w:t xml:space="preserve"> e </w:t>
      </w:r>
      <w:r>
        <w:rPr>
          <w:i/>
        </w:rPr>
        <w:t>“</w:t>
      </w:r>
      <w:proofErr w:type="spellStart"/>
      <w:r w:rsidRPr="0017284D">
        <w:rPr>
          <w:i/>
        </w:rPr>
        <w:t>ía</w:t>
      </w:r>
      <w:proofErr w:type="spellEnd"/>
      <w:r>
        <w:rPr>
          <w:i/>
        </w:rPr>
        <w:t>”</w:t>
      </w:r>
      <w:r w:rsidR="00A4244E">
        <w:t>.</w:t>
      </w:r>
    </w:p>
    <w:p w:rsidR="00A4244E" w:rsidRDefault="00A4244E" w:rsidP="00E16642"/>
    <w:p w:rsidR="00A4244E" w:rsidRPr="00A4244E" w:rsidRDefault="0039401C" w:rsidP="00E16642">
      <w:r>
        <w:t xml:space="preserve">De acuerdo con el texto de </w:t>
      </w:r>
      <w:r w:rsidRPr="0039401C">
        <w:t xml:space="preserve">Quintana </w:t>
      </w:r>
      <w:proofErr w:type="spellStart"/>
      <w:r w:rsidRPr="0039401C">
        <w:t>Cabanas</w:t>
      </w:r>
      <w:proofErr w:type="spellEnd"/>
      <w:r>
        <w:t xml:space="preserve"> (2006</w:t>
      </w:r>
      <w:r w:rsidR="00A204CB">
        <w:t>, p. 502</w:t>
      </w:r>
      <w:r>
        <w:t>), e</w:t>
      </w:r>
      <w:r w:rsidR="00A4244E">
        <w:t>n cuanto a la primera división</w:t>
      </w:r>
      <w:r>
        <w:t xml:space="preserve">, el elemento </w:t>
      </w:r>
      <w:r w:rsidRPr="0039401C">
        <w:t>“</w:t>
      </w:r>
      <w:r w:rsidR="00A4244E" w:rsidRPr="0039401C">
        <w:rPr>
          <w:i/>
        </w:rPr>
        <w:t>método</w:t>
      </w:r>
      <w:r>
        <w:t>”</w:t>
      </w:r>
      <w:r w:rsidR="00A4244E" w:rsidRPr="00A4244E">
        <w:t xml:space="preserve"> </w:t>
      </w:r>
      <w:r w:rsidR="00E16642">
        <w:t>es definido de cuatro formas distintas: como</w:t>
      </w:r>
      <w:r w:rsidR="00A4244E" w:rsidRPr="00A4244E">
        <w:t xml:space="preserve"> “</w:t>
      </w:r>
      <w:r w:rsidR="00E16642">
        <w:t xml:space="preserve">búsqueda”, como “plan”, como </w:t>
      </w:r>
      <w:r w:rsidR="00E16642" w:rsidRPr="00E16642">
        <w:t xml:space="preserve">“modo de hacer o </w:t>
      </w:r>
      <w:r w:rsidR="00E16642">
        <w:t xml:space="preserve">decir las cosas ordenadamente” y como </w:t>
      </w:r>
      <w:r w:rsidR="00A4244E" w:rsidRPr="00A4244E">
        <w:t>“procedimiento de marcha racional seguida para llegar al conocimiento de una c</w:t>
      </w:r>
      <w:r w:rsidR="00E16642">
        <w:t>iencia o enseñarla”. Entre las cuatro definiciones no puede establecerse sinonimia, igualdad o equivalencia</w:t>
      </w:r>
      <w:r w:rsidR="0043100B">
        <w:t>, y</w:t>
      </w:r>
      <w:r w:rsidR="00E16642">
        <w:t xml:space="preserve"> aunque en todo caso puede hablarse de correspondencia, también difieren en el nivel cognitivo que subyace en cada una y quizá la última definición sea la que tendría cabida en el contexto de método de investigación.</w:t>
      </w:r>
      <w:r w:rsidR="0043100B">
        <w:t xml:space="preserve"> </w:t>
      </w:r>
      <w:r w:rsidR="00E16642">
        <w:t>Con respecto al elemento “</w:t>
      </w:r>
      <w:r w:rsidR="00E16642">
        <w:rPr>
          <w:i/>
        </w:rPr>
        <w:t>log</w:t>
      </w:r>
      <w:r w:rsidR="0043100B">
        <w:rPr>
          <w:i/>
        </w:rPr>
        <w:t>i</w:t>
      </w:r>
      <w:r w:rsidR="00E16642">
        <w:rPr>
          <w:i/>
        </w:rPr>
        <w:t>a</w:t>
      </w:r>
      <w:r w:rsidR="00E16642">
        <w:t>”</w:t>
      </w:r>
      <w:r w:rsidR="0043100B">
        <w:t xml:space="preserve">, </w:t>
      </w:r>
      <w:r w:rsidR="0043100B" w:rsidRPr="0043100B">
        <w:t xml:space="preserve">tiene como raíz la palabra </w:t>
      </w:r>
      <w:r w:rsidR="0043100B">
        <w:t>“</w:t>
      </w:r>
      <w:r w:rsidR="0043100B" w:rsidRPr="0043100B">
        <w:rPr>
          <w:i/>
        </w:rPr>
        <w:t>logos</w:t>
      </w:r>
      <w:r w:rsidR="0043100B">
        <w:t>”</w:t>
      </w:r>
      <w:r w:rsidR="00E16642">
        <w:t xml:space="preserve">, éste hace </w:t>
      </w:r>
      <w:r w:rsidR="00A4244E" w:rsidRPr="00A4244E">
        <w:t>referencia a un estudio</w:t>
      </w:r>
      <w:r w:rsidR="00E16642">
        <w:t xml:space="preserve"> consistente, por ejemplo, geología</w:t>
      </w:r>
      <w:r w:rsidR="00A4244E" w:rsidRPr="00A4244E">
        <w:t>, ps</w:t>
      </w:r>
      <w:r w:rsidR="00E066FA">
        <w:t xml:space="preserve">icología, la partición </w:t>
      </w:r>
      <w:r w:rsidR="003F6836">
        <w:t>“</w:t>
      </w:r>
      <w:r w:rsidR="00E066FA" w:rsidRPr="0043100B">
        <w:rPr>
          <w:i/>
        </w:rPr>
        <w:t>log</w:t>
      </w:r>
      <w:r w:rsidR="003A7796">
        <w:rPr>
          <w:i/>
        </w:rPr>
        <w:t>i</w:t>
      </w:r>
      <w:r w:rsidR="00E066FA" w:rsidRPr="0043100B">
        <w:rPr>
          <w:i/>
        </w:rPr>
        <w:t>a</w:t>
      </w:r>
      <w:r w:rsidR="003F6836">
        <w:t>”</w:t>
      </w:r>
      <w:r w:rsidR="00E066FA">
        <w:t xml:space="preserve">; señala </w:t>
      </w:r>
      <w:r w:rsidR="00A4244E" w:rsidRPr="00A4244E">
        <w:t>la func</w:t>
      </w:r>
      <w:r w:rsidR="00E066FA">
        <w:t xml:space="preserve">ión de &lt;el estudio referente a&gt;. </w:t>
      </w:r>
      <w:r w:rsidR="0043100B">
        <w:t>Bajo este criterio, división por mitades, el término metodología trataría del estudio del proceder y/o presentar el conocimiento, sin embargo, la definición es</w:t>
      </w:r>
      <w:r w:rsidR="00A4244E" w:rsidRPr="00A4244E">
        <w:t xml:space="preserve"> circ</w:t>
      </w:r>
      <w:r w:rsidR="007915D8">
        <w:t>ular</w:t>
      </w:r>
      <w:r w:rsidR="00976F04">
        <w:t>.</w:t>
      </w:r>
    </w:p>
    <w:p w:rsidR="00A4244E" w:rsidRDefault="00A4244E" w:rsidP="00E16642"/>
    <w:p w:rsidR="00976F04" w:rsidRPr="00976F04" w:rsidRDefault="00976F04" w:rsidP="00976F04">
      <w:r>
        <w:t>Los argumentos</w:t>
      </w:r>
      <w:r w:rsidRPr="00976F04">
        <w:t xml:space="preserve"> anterior</w:t>
      </w:r>
      <w:r>
        <w:t xml:space="preserve">es muestran que en análisis dicotómico del término resulta una revolución (referida a la vuelta, círculo) y esto podría salvarse dividiendo Metodología en </w:t>
      </w:r>
      <w:r w:rsidRPr="00976F04">
        <w:t>“</w:t>
      </w:r>
      <w:proofErr w:type="spellStart"/>
      <w:r w:rsidRPr="00976F04">
        <w:rPr>
          <w:i/>
        </w:rPr>
        <w:t>metha</w:t>
      </w:r>
      <w:proofErr w:type="spellEnd"/>
      <w:r w:rsidRPr="00976F04">
        <w:rPr>
          <w:i/>
        </w:rPr>
        <w:t>”</w:t>
      </w:r>
      <w:r w:rsidRPr="00976F04">
        <w:t>, “</w:t>
      </w:r>
      <w:proofErr w:type="spellStart"/>
      <w:r w:rsidRPr="00976F04">
        <w:rPr>
          <w:i/>
        </w:rPr>
        <w:t>odos</w:t>
      </w:r>
      <w:proofErr w:type="spellEnd"/>
      <w:r w:rsidRPr="00976F04">
        <w:rPr>
          <w:i/>
        </w:rPr>
        <w:t>”,</w:t>
      </w:r>
      <w:r w:rsidRPr="00976F04">
        <w:t xml:space="preserve"> “</w:t>
      </w:r>
      <w:r w:rsidRPr="00976F04">
        <w:rPr>
          <w:i/>
        </w:rPr>
        <w:t>logos” e “</w:t>
      </w:r>
      <w:proofErr w:type="spellStart"/>
      <w:r w:rsidRPr="00976F04">
        <w:rPr>
          <w:i/>
        </w:rPr>
        <w:t>ía</w:t>
      </w:r>
      <w:proofErr w:type="spellEnd"/>
      <w:r w:rsidRPr="00976F04">
        <w:rPr>
          <w:i/>
        </w:rPr>
        <w:t>”</w:t>
      </w:r>
      <w:r>
        <w:t xml:space="preserve">. </w:t>
      </w:r>
    </w:p>
    <w:p w:rsidR="00976F04" w:rsidRDefault="00976F04" w:rsidP="00976F04"/>
    <w:p w:rsidR="007915D8" w:rsidRPr="00976F04" w:rsidRDefault="00976F04" w:rsidP="007915D8">
      <w:r>
        <w:t xml:space="preserve">Siguiendo nuevamente a </w:t>
      </w:r>
      <w:r w:rsidRPr="00976F04">
        <w:t xml:space="preserve">Quintana </w:t>
      </w:r>
      <w:proofErr w:type="spellStart"/>
      <w:r w:rsidRPr="00976F04">
        <w:t>Cabanas</w:t>
      </w:r>
      <w:proofErr w:type="spellEnd"/>
      <w:r w:rsidRPr="00976F04">
        <w:t xml:space="preserve"> (2006</w:t>
      </w:r>
      <w:r w:rsidR="00A204CB">
        <w:t>, p. 503</w:t>
      </w:r>
      <w:r w:rsidRPr="00976F04">
        <w:t>)</w:t>
      </w:r>
      <w:r>
        <w:t>, “</w:t>
      </w:r>
      <w:proofErr w:type="spellStart"/>
      <w:r w:rsidRPr="00A204CB">
        <w:rPr>
          <w:i/>
        </w:rPr>
        <w:t>metha</w:t>
      </w:r>
      <w:proofErr w:type="spellEnd"/>
      <w:r>
        <w:t xml:space="preserve">” se define como </w:t>
      </w:r>
      <w:r w:rsidRPr="00976F04">
        <w:t>“junto a, con, entre”</w:t>
      </w:r>
      <w:r>
        <w:t xml:space="preserve">, como </w:t>
      </w:r>
      <w:r w:rsidRPr="00976F04">
        <w:t>“después de, más allá de; idea de cambio, de tran</w:t>
      </w:r>
      <w:r w:rsidR="00A204CB">
        <w:t>sformación</w:t>
      </w:r>
      <w:r w:rsidRPr="00976F04">
        <w:t>”</w:t>
      </w:r>
      <w:r w:rsidR="00A204CB">
        <w:t>. Del segundo elemento “</w:t>
      </w:r>
      <w:proofErr w:type="spellStart"/>
      <w:r w:rsidR="00A204CB">
        <w:rPr>
          <w:i/>
        </w:rPr>
        <w:t>odos</w:t>
      </w:r>
      <w:proofErr w:type="spellEnd"/>
      <w:r w:rsidR="00A204CB">
        <w:t xml:space="preserve">”, </w:t>
      </w:r>
      <w:r w:rsidR="003F6836">
        <w:t xml:space="preserve">la </w:t>
      </w:r>
      <w:r w:rsidRPr="00976F04">
        <w:t>traducción regular</w:t>
      </w:r>
      <w:r w:rsidR="003F6836">
        <w:t xml:space="preserve">, o a la que </w:t>
      </w:r>
      <w:r w:rsidRPr="00976F04">
        <w:t>siempre</w:t>
      </w:r>
      <w:r w:rsidR="003F6836">
        <w:t xml:space="preserve"> se recurre es</w:t>
      </w:r>
      <w:r w:rsidRPr="00976F04">
        <w:t xml:space="preserve"> “el camino” </w:t>
      </w:r>
      <w:r w:rsidR="00A204CB">
        <w:t>(Meyer</w:t>
      </w:r>
      <w:r w:rsidR="00A204CB" w:rsidRPr="00A204CB">
        <w:t xml:space="preserve"> &amp; </w:t>
      </w:r>
      <w:proofErr w:type="spellStart"/>
      <w:r w:rsidR="00A204CB" w:rsidRPr="00A204CB">
        <w:t>Steinthal</w:t>
      </w:r>
      <w:proofErr w:type="spellEnd"/>
      <w:r w:rsidR="00A204CB">
        <w:t>, 1993</w:t>
      </w:r>
      <w:r w:rsidR="007915D8">
        <w:t>, p. 75</w:t>
      </w:r>
      <w:r w:rsidR="00A204CB">
        <w:t>)</w:t>
      </w:r>
      <w:r w:rsidR="003F6836">
        <w:t xml:space="preserve">, es decir, </w:t>
      </w:r>
      <w:r w:rsidRPr="00976F04">
        <w:t xml:space="preserve">un camino que se debe recorrer para llegar a un algo. </w:t>
      </w:r>
      <w:r w:rsidR="003F6836">
        <w:t xml:space="preserve">Sin embargo, al unir estas dos acepciones, se presentan dos imágenes completamente diferentes; la primera: </w:t>
      </w:r>
      <w:r w:rsidR="003F6836" w:rsidRPr="003F6836">
        <w:t xml:space="preserve">un </w:t>
      </w:r>
      <w:r w:rsidR="003F6836" w:rsidRPr="003F6836">
        <w:lastRenderedPageBreak/>
        <w:t>camino junto a, un camino con o un camino entre,</w:t>
      </w:r>
      <w:r w:rsidR="003F6836">
        <w:t xml:space="preserve"> es decir, un paralelo; y la segunda, tomando la definición </w:t>
      </w:r>
      <w:r w:rsidR="003F6836" w:rsidRPr="003F6836">
        <w:t>“más allá de”, un camino que te lleve más allá de, probablemente, más allá de</w:t>
      </w:r>
      <w:r w:rsidR="003F6836">
        <w:t>l</w:t>
      </w:r>
      <w:r w:rsidR="003F6836" w:rsidRPr="003F6836">
        <w:t xml:space="preserve"> propio punto de partida</w:t>
      </w:r>
      <w:r w:rsidR="003A7796">
        <w:t>, siendo esta la definición más acorde con la idea que aquí se sustenta</w:t>
      </w:r>
      <w:r w:rsidR="003F6836" w:rsidRPr="003F6836">
        <w:t xml:space="preserve">. </w:t>
      </w:r>
      <w:r w:rsidR="003F6836">
        <w:t xml:space="preserve">Se puede también </w:t>
      </w:r>
      <w:r w:rsidR="007915D8">
        <w:t xml:space="preserve">apelar </w:t>
      </w:r>
      <w:r w:rsidR="003F6836">
        <w:t>a otra definición menos recurrente de “</w:t>
      </w:r>
      <w:proofErr w:type="spellStart"/>
      <w:r w:rsidR="003F6836">
        <w:rPr>
          <w:i/>
        </w:rPr>
        <w:t>odos</w:t>
      </w:r>
      <w:proofErr w:type="spellEnd"/>
      <w:r w:rsidR="003F6836">
        <w:t>”</w:t>
      </w:r>
      <w:r w:rsidR="007915D8">
        <w:t>: “</w:t>
      </w:r>
      <w:r w:rsidRPr="00976F04">
        <w:t>la vía” (</w:t>
      </w:r>
      <w:r w:rsidR="007915D8" w:rsidRPr="007915D8">
        <w:t xml:space="preserve">Meyer &amp; </w:t>
      </w:r>
      <w:proofErr w:type="spellStart"/>
      <w:r w:rsidR="007915D8" w:rsidRPr="007915D8">
        <w:t>Steinthal</w:t>
      </w:r>
      <w:proofErr w:type="spellEnd"/>
      <w:r w:rsidR="007915D8" w:rsidRPr="007915D8">
        <w:t>, 1993</w:t>
      </w:r>
      <w:r w:rsidR="007915D8">
        <w:t>, p. 75</w:t>
      </w:r>
      <w:r w:rsidRPr="00976F04">
        <w:t xml:space="preserve">) </w:t>
      </w:r>
      <w:r w:rsidR="007915D8">
        <w:t xml:space="preserve">vinculada con las ideas de </w:t>
      </w:r>
      <w:proofErr w:type="spellStart"/>
      <w:r w:rsidR="007915D8">
        <w:t>e</w:t>
      </w:r>
      <w:r w:rsidRPr="00976F04">
        <w:t>codos</w:t>
      </w:r>
      <w:proofErr w:type="spellEnd"/>
      <w:r w:rsidRPr="00976F04">
        <w:t xml:space="preserve"> y </w:t>
      </w:r>
      <w:proofErr w:type="spellStart"/>
      <w:r w:rsidRPr="00976F04">
        <w:t>exodos</w:t>
      </w:r>
      <w:proofErr w:type="spellEnd"/>
      <w:r w:rsidR="007915D8">
        <w:t xml:space="preserve"> o </w:t>
      </w:r>
      <w:r w:rsidR="007915D8" w:rsidRPr="00976F04">
        <w:t xml:space="preserve">entrada y salida </w:t>
      </w:r>
      <w:r w:rsidR="007915D8">
        <w:t>(Corominas</w:t>
      </w:r>
      <w:r w:rsidR="007915D8" w:rsidRPr="007915D8">
        <w:t xml:space="preserve"> &amp; Pascual, </w:t>
      </w:r>
      <w:r w:rsidR="007915D8">
        <w:t>1980, pp.</w:t>
      </w:r>
      <w:r w:rsidRPr="00976F04">
        <w:t xml:space="preserve"> 650</w:t>
      </w:r>
      <w:r w:rsidR="007915D8">
        <w:t>,</w:t>
      </w:r>
      <w:r w:rsidRPr="00976F04">
        <w:t xml:space="preserve"> 651)</w:t>
      </w:r>
      <w:r w:rsidR="007915D8">
        <w:t>. Así puede entenderse “camino”, más que en el sentido de longitud o extensión, en cuanto a</w:t>
      </w:r>
      <w:r w:rsidRPr="00976F04">
        <w:t>l sentido de construcción que une una región con otra, es decir, la acepción de conducto</w:t>
      </w:r>
      <w:r w:rsidR="007915D8">
        <w:t xml:space="preserve"> (u</w:t>
      </w:r>
      <w:r w:rsidRPr="00976F04">
        <w:t>na entrada y una salida son un conducto</w:t>
      </w:r>
      <w:r w:rsidR="007915D8">
        <w:t>)</w:t>
      </w:r>
      <w:r w:rsidRPr="00976F04">
        <w:t>.</w:t>
      </w:r>
    </w:p>
    <w:p w:rsidR="00976F04" w:rsidRPr="00976F04" w:rsidRDefault="00976F04" w:rsidP="009A109E">
      <w:r w:rsidRPr="00976F04">
        <w:t xml:space="preserve"> </w:t>
      </w:r>
    </w:p>
    <w:p w:rsidR="009A109E" w:rsidRPr="009A109E" w:rsidRDefault="009A109E" w:rsidP="00976F04">
      <w:r w:rsidRPr="003A7796">
        <w:t>Con respecto a</w:t>
      </w:r>
      <w:r w:rsidR="00976F04" w:rsidRPr="003A7796">
        <w:t xml:space="preserve">l sufijo logia se compone de la palabra </w:t>
      </w:r>
      <w:r w:rsidRPr="003A7796">
        <w:t>“</w:t>
      </w:r>
      <w:r w:rsidR="00976F04" w:rsidRPr="003A7796">
        <w:rPr>
          <w:i/>
        </w:rPr>
        <w:t>logos</w:t>
      </w:r>
      <w:r w:rsidRPr="003A7796">
        <w:t>”</w:t>
      </w:r>
      <w:r w:rsidR="00976F04" w:rsidRPr="003A7796">
        <w:t xml:space="preserve"> y la declinación </w:t>
      </w:r>
      <w:r w:rsidRPr="003A7796">
        <w:t>“</w:t>
      </w:r>
      <w:proofErr w:type="spellStart"/>
      <w:r w:rsidR="00976F04" w:rsidRPr="003A7796">
        <w:rPr>
          <w:i/>
        </w:rPr>
        <w:t>ía</w:t>
      </w:r>
      <w:proofErr w:type="spellEnd"/>
      <w:r w:rsidRPr="003A7796">
        <w:t>”</w:t>
      </w:r>
      <w:r w:rsidR="00976F04" w:rsidRPr="003A7796">
        <w:t xml:space="preserve">, hay que entender que logos e </w:t>
      </w:r>
      <w:proofErr w:type="spellStart"/>
      <w:r w:rsidR="00976F04" w:rsidRPr="003A7796">
        <w:t>ía</w:t>
      </w:r>
      <w:proofErr w:type="spellEnd"/>
      <w:r w:rsidR="00976F04" w:rsidRPr="003A7796">
        <w:t xml:space="preserve"> separados no referencian el mismo sentido que en su unión, </w:t>
      </w:r>
      <w:r w:rsidRPr="003A7796">
        <w:t xml:space="preserve">anteriormente se trató el “logos” y en este momento se hará referencia a </w:t>
      </w:r>
      <w:r w:rsidR="00976F04" w:rsidRPr="003A7796">
        <w:t xml:space="preserve">la declinación </w:t>
      </w:r>
      <w:r w:rsidRPr="003A7796">
        <w:t>“</w:t>
      </w:r>
      <w:proofErr w:type="spellStart"/>
      <w:r w:rsidR="00976F04" w:rsidRPr="003A7796">
        <w:rPr>
          <w:i/>
        </w:rPr>
        <w:t>ía</w:t>
      </w:r>
      <w:proofErr w:type="spellEnd"/>
      <w:r w:rsidRPr="003A7796">
        <w:t>”</w:t>
      </w:r>
      <w:r w:rsidR="00976F04" w:rsidRPr="003A7796">
        <w:t>.</w:t>
      </w:r>
      <w:r w:rsidRPr="003A7796">
        <w:t xml:space="preserve"> Primero debe señalarse que </w:t>
      </w:r>
      <w:r w:rsidR="00976F04" w:rsidRPr="003A7796">
        <w:t>no es lo mismo ‘</w:t>
      </w:r>
      <w:proofErr w:type="spellStart"/>
      <w:r w:rsidR="00976F04" w:rsidRPr="003A7796">
        <w:t>ia</w:t>
      </w:r>
      <w:proofErr w:type="spellEnd"/>
      <w:r w:rsidR="00976F04" w:rsidRPr="003A7796">
        <w:t>’ que ‘</w:t>
      </w:r>
      <w:proofErr w:type="spellStart"/>
      <w:r w:rsidR="00976F04" w:rsidRPr="003A7796">
        <w:t>ía</w:t>
      </w:r>
      <w:proofErr w:type="spellEnd"/>
      <w:r w:rsidR="00976F04" w:rsidRPr="003A7796">
        <w:t xml:space="preserve">’, porque la acentuación remite a sufijo diferente. </w:t>
      </w:r>
      <w:r w:rsidRPr="003A7796">
        <w:t>“</w:t>
      </w:r>
      <w:proofErr w:type="spellStart"/>
      <w:r w:rsidRPr="003A7796">
        <w:rPr>
          <w:i/>
        </w:rPr>
        <w:t>ía</w:t>
      </w:r>
      <w:proofErr w:type="spellEnd"/>
      <w:r w:rsidRPr="003A7796">
        <w:t>” es una derivación adjetiva de nombres abstractos principalmente en los campos de la ciencia y la religión.</w:t>
      </w:r>
    </w:p>
    <w:p w:rsidR="009A109E" w:rsidRDefault="009A109E" w:rsidP="00976F04"/>
    <w:p w:rsidR="00976F04" w:rsidRPr="00FD32A6" w:rsidRDefault="00E1583E" w:rsidP="00FD32A6">
      <w:r>
        <w:t>Realizando una síntesis de lo presentado, y postulando que “</w:t>
      </w:r>
      <w:r w:rsidRPr="00E1583E">
        <w:rPr>
          <w:i/>
        </w:rPr>
        <w:t>meta</w:t>
      </w:r>
      <w:r>
        <w:t>” es “más allá, transformación o cambio”; “</w:t>
      </w:r>
      <w:proofErr w:type="spellStart"/>
      <w:r>
        <w:rPr>
          <w:i/>
        </w:rPr>
        <w:t>odos</w:t>
      </w:r>
      <w:proofErr w:type="spellEnd"/>
      <w:r>
        <w:t>” es “vía o conducto”; “</w:t>
      </w:r>
      <w:r>
        <w:rPr>
          <w:i/>
        </w:rPr>
        <w:t>logos</w:t>
      </w:r>
      <w:r>
        <w:t>”</w:t>
      </w:r>
      <w:r w:rsidR="009A109E" w:rsidRPr="00976F04">
        <w:t xml:space="preserve"> </w:t>
      </w:r>
      <w:r>
        <w:t>se considera “</w:t>
      </w:r>
      <w:r w:rsidR="00976F04" w:rsidRPr="00976F04">
        <w:t xml:space="preserve">el discurso </w:t>
      </w:r>
      <w:r w:rsidR="00FD32A6">
        <w:t>racional,</w:t>
      </w:r>
      <w:r w:rsidR="00976F04" w:rsidRPr="00976F04">
        <w:t xml:space="preserve"> pero </w:t>
      </w:r>
      <w:r w:rsidR="00AB32CA">
        <w:t>solo</w:t>
      </w:r>
      <w:r w:rsidR="00976F04" w:rsidRPr="00976F04">
        <w:t xml:space="preserve"> como que rige el hacer y el dejar de hacer</w:t>
      </w:r>
      <w:r>
        <w:t>” e “</w:t>
      </w:r>
      <w:proofErr w:type="spellStart"/>
      <w:r w:rsidR="00976F04" w:rsidRPr="00E1583E">
        <w:rPr>
          <w:i/>
        </w:rPr>
        <w:t>ía</w:t>
      </w:r>
      <w:proofErr w:type="spellEnd"/>
      <w:r>
        <w:t>”</w:t>
      </w:r>
      <w:r w:rsidR="00976F04" w:rsidRPr="00976F04">
        <w:t xml:space="preserve"> </w:t>
      </w:r>
      <w:r>
        <w:t>“</w:t>
      </w:r>
      <w:r w:rsidR="00976F04" w:rsidRPr="00976F04">
        <w:t>una noción abstracta referente al campo de la cienci</w:t>
      </w:r>
      <w:r w:rsidR="00976F04" w:rsidRPr="00FD32A6">
        <w:t>a</w:t>
      </w:r>
      <w:r w:rsidRPr="00FD32A6">
        <w:t>”; la metodología es la vía que</w:t>
      </w:r>
      <w:r w:rsidR="00976F04" w:rsidRPr="00FD32A6">
        <w:t xml:space="preserve"> lleva a la transformación</w:t>
      </w:r>
      <w:r w:rsidR="00FD32A6" w:rsidRPr="00FD32A6">
        <w:t xml:space="preserve"> de las nociones abstractas de la ciencia mediante un discurso racional del hacer y del dejar de hacer.</w:t>
      </w:r>
      <w:r w:rsidR="00976F04" w:rsidRPr="00FD32A6">
        <w:t xml:space="preserve"> </w:t>
      </w:r>
    </w:p>
    <w:p w:rsidR="00976F04" w:rsidRDefault="00976F04" w:rsidP="00E16642"/>
    <w:p w:rsidR="00976F04" w:rsidRDefault="00546DC8" w:rsidP="00E16642">
      <w:r>
        <w:t>En el texto de Rodríguez Salazar y Caballero Castellanos luego de analizar y presentar formulaciones sintéticas de las definiciones etimológicas de los términos</w:t>
      </w:r>
      <w:r w:rsidR="00FD1465">
        <w:t>, hacen una revisión histórica suponiendo que “</w:t>
      </w:r>
      <w:r w:rsidR="00FD1465" w:rsidRPr="00FD1465">
        <w:t>el concepto tiene una influencia intrínseca y probablemente recíproca de su entorno, es decir, de su contexto histórico-social-económico-político-cultural</w:t>
      </w:r>
      <w:r w:rsidR="00FD1465">
        <w:t xml:space="preserve">” </w:t>
      </w:r>
      <w:r w:rsidR="00FD1465" w:rsidRPr="00FD1465">
        <w:t>a través de la inferencia d</w:t>
      </w:r>
      <w:r w:rsidR="00FD1465">
        <w:t>e los textos donde es mencionado</w:t>
      </w:r>
      <w:r w:rsidR="009463B4">
        <w:t xml:space="preserve"> (encontrando generalmente la ausencia de su </w:t>
      </w:r>
      <w:r w:rsidR="009463B4">
        <w:lastRenderedPageBreak/>
        <w:t xml:space="preserve">definición), </w:t>
      </w:r>
      <w:r w:rsidR="00FD1465">
        <w:t xml:space="preserve">de esta manera </w:t>
      </w:r>
      <w:r w:rsidR="00FD1465" w:rsidRPr="00FD1465">
        <w:t>extrae</w:t>
      </w:r>
      <w:r w:rsidR="00FD1465">
        <w:t>n</w:t>
      </w:r>
      <w:r w:rsidR="00FD1465" w:rsidRPr="00FD1465">
        <w:t xml:space="preserve"> su significado</w:t>
      </w:r>
      <w:r w:rsidR="00D03A1E">
        <w:t>. Asimismo presentan a dos posturas y las contraponen con la finalidad de establecer qué es la metodología.</w:t>
      </w:r>
    </w:p>
    <w:p w:rsidR="00D03A1E" w:rsidRDefault="00D03A1E" w:rsidP="00E16642"/>
    <w:p w:rsidR="00D03A1E" w:rsidRDefault="00D03A1E" w:rsidP="00E16642">
      <w:r>
        <w:t xml:space="preserve">Aquí, se presenta una forma alternativa para establecer lo que es la metodología de la ciencia, mostrando cómo es que ha sido entendida </w:t>
      </w:r>
      <w:r w:rsidR="003A7796">
        <w:t>a partir de las necesidades</w:t>
      </w:r>
      <w:r w:rsidR="00876115">
        <w:t>,</w:t>
      </w:r>
      <w:r>
        <w:t xml:space="preserve"> a nivel nacional y a nivel </w:t>
      </w:r>
      <w:r w:rsidR="00876115">
        <w:t xml:space="preserve">internacional, </w:t>
      </w:r>
      <w:r>
        <w:t>de las instituciones de educación superior y el proceso que esta visión ha tenido en su transformación a entenderse como metodología de la ciencia.</w:t>
      </w:r>
    </w:p>
    <w:p w:rsidR="00D03A1E" w:rsidRDefault="00D03A1E" w:rsidP="00E16642"/>
    <w:p w:rsidR="00D03A1E" w:rsidRPr="00D03A1E" w:rsidRDefault="00D03A1E" w:rsidP="00D03A1E">
      <w:r w:rsidRPr="00D03A1E">
        <w:t>La metodología de la ciencia es una rama de la filosofía de la ciencia</w:t>
      </w:r>
      <w:r w:rsidRPr="00D03A1E">
        <w:rPr>
          <w:vertAlign w:val="superscript"/>
        </w:rPr>
        <w:footnoteReference w:id="4"/>
      </w:r>
      <w:r w:rsidRPr="00D03A1E">
        <w:t>, dirigida al estudio de los métodos dentro de la perspectiva teórica en la que se usan, es decir, es la reflexión desde la teoría sobre el proceder en las investigaciones inscritas en ella. Esta es una visión que aunque no puede considerarse novedosa por, retomarla ahora en el siglo XXII, es una postura que se contrapone a la concepción predominante sobre la metodología como teoría del método.</w:t>
      </w:r>
    </w:p>
    <w:p w:rsidR="00D03A1E" w:rsidRDefault="00D03A1E" w:rsidP="00D03A1E"/>
    <w:p w:rsidR="00CB46DF" w:rsidRDefault="00CB46DF" w:rsidP="00D03A1E"/>
    <w:p w:rsidR="00D03A1E" w:rsidRDefault="00CB46DF" w:rsidP="003E1A0D">
      <w:pPr>
        <w:pStyle w:val="Ttulo2"/>
      </w:pPr>
      <w:bookmarkStart w:id="12" w:name="_Toc308691480"/>
      <w:r>
        <w:t>Metodología, mirada desde las IES</w:t>
      </w:r>
      <w:bookmarkEnd w:id="12"/>
    </w:p>
    <w:p w:rsidR="00CB46DF" w:rsidRDefault="00CB46DF" w:rsidP="00D03A1E"/>
    <w:p w:rsidR="00CB46DF" w:rsidRPr="00CB46DF" w:rsidRDefault="00CB46DF" w:rsidP="00CB46DF">
      <w:r>
        <w:t xml:space="preserve">Desde los 90’s del siglo pasado, en las instituciones de educación superior, se </w:t>
      </w:r>
      <w:r w:rsidRPr="00CB46DF">
        <w:t>situ</w:t>
      </w:r>
      <w:r>
        <w:t>ó</w:t>
      </w:r>
      <w:r w:rsidRPr="00CB46DF">
        <w:t xml:space="preserve"> a la investigación como punto central en la formación de alumnos</w:t>
      </w:r>
      <w:r>
        <w:t>, esto por un impulso internacional</w:t>
      </w:r>
      <w:r w:rsidR="00B07011">
        <w:t xml:space="preserve"> de</w:t>
      </w:r>
      <w:r>
        <w:t xml:space="preserve"> </w:t>
      </w:r>
      <w:r w:rsidRPr="00CB46DF">
        <w:t xml:space="preserve">fomentar la educación científica (Acevedo Díaz, Vázquez Alonso, </w:t>
      </w:r>
      <w:proofErr w:type="spellStart"/>
      <w:r w:rsidRPr="00CB46DF">
        <w:t>Manassero</w:t>
      </w:r>
      <w:proofErr w:type="spellEnd"/>
      <w:r w:rsidRPr="00CB46DF">
        <w:t xml:space="preserve"> Más, &amp; Acevedo Romero, 2007)</w:t>
      </w:r>
      <w:r>
        <w:t xml:space="preserve">, así </w:t>
      </w:r>
      <w:r w:rsidRPr="00CB46DF">
        <w:t>iniciaron programas para incrementar la investigación, y el desarrollo de ciencia y tecnología</w:t>
      </w:r>
      <w:r w:rsidR="00B07011">
        <w:t>,</w:t>
      </w:r>
      <w:r w:rsidRPr="00CB46DF">
        <w:t xml:space="preserve"> </w:t>
      </w:r>
      <w:r w:rsidR="00B07011">
        <w:t>logrando</w:t>
      </w:r>
      <w:r w:rsidRPr="00CB46DF">
        <w:t xml:space="preserve"> la vinculación entre centros de investigación y</w:t>
      </w:r>
      <w:r w:rsidR="00876115">
        <w:t xml:space="preserve"> universidades con las empresas</w:t>
      </w:r>
      <w:r w:rsidRPr="00CB46DF">
        <w:t xml:space="preserve"> (Salas Madriz, 2007)</w:t>
      </w:r>
      <w:r>
        <w:t>.</w:t>
      </w:r>
    </w:p>
    <w:p w:rsidR="00CB46DF" w:rsidRDefault="00CB46DF" w:rsidP="00CB46DF">
      <w:r w:rsidRPr="00CB46DF">
        <w:t xml:space="preserve"> </w:t>
      </w:r>
    </w:p>
    <w:p w:rsidR="00CB46DF" w:rsidRDefault="00CB46DF" w:rsidP="00CB46DF">
      <w:r w:rsidRPr="00CB46DF">
        <w:lastRenderedPageBreak/>
        <w:t>Para las instituciones de educación superior, la investigación siempre ha sido un elemento definitorio, es decir, es una función inherente a cualquier organismo educativo como un productor y socializador del conocimiento. Generalmente, el diseño de currículos dentro de las IES retoma a la investigación y sus ventajas; sin embargo, dicha integración ha tenido diferentes matices, desde impartir asignaturas que “enseñan” a investigar hasta convertirla en el centro de la formación de los estudiantes; varios autores ya escriben sobre la idea de replantear y repensar a la investigación como una función prioritaria que abarque todos los aspectos de la vida universitaria.</w:t>
      </w:r>
    </w:p>
    <w:p w:rsidR="00C82A61" w:rsidRPr="00CB46DF" w:rsidRDefault="00C82A61" w:rsidP="00CB46DF"/>
    <w:p w:rsidR="00CB46DF" w:rsidRDefault="00CB46DF" w:rsidP="00CB46DF">
      <w:r w:rsidRPr="00CB46DF">
        <w:t>Esta nueva función (formadora) de la investigación, se enmarca dentro de la formación de competencias “como parte de la construcción de una cultura investigativa, reflexiva y orientada al desarrollo en los procesos académicos universitarios” (Campos</w:t>
      </w:r>
      <w:r w:rsidR="00C82A61">
        <w:t xml:space="preserve"> Céspedes</w:t>
      </w:r>
      <w:r w:rsidRPr="00CB46DF">
        <w:t xml:space="preserve"> &amp; Chinchilla</w:t>
      </w:r>
      <w:r w:rsidR="00C82A61">
        <w:t xml:space="preserve"> Jiménez</w:t>
      </w:r>
      <w:r w:rsidRPr="00CB46DF">
        <w:t>, 2009, p. 3), lo cual implica cambios administrativos por ejemplo burocráticos, y académicos como en el caso de la docencia.</w:t>
      </w:r>
      <w:r w:rsidR="00C82A61">
        <w:t xml:space="preserve"> </w:t>
      </w:r>
      <w:r w:rsidRPr="00CB46DF">
        <w:t xml:space="preserve">Así, la competencia de investigación se considera una capacidad propia de los egresados universitarios; porque “permite que los juicios se rijan por una racionalidad que ayuda a abandonar la actitud acientífica en relación con las interpretaciones prefijadas, proceso que, a su vez, da como resultado el cuestionamiento y la modificación de las creencias que suelen atar a los seres humanos” </w:t>
      </w:r>
      <w:r w:rsidR="00C82A61">
        <w:t>(</w:t>
      </w:r>
      <w:r w:rsidRPr="00CB46DF">
        <w:t>p. 13).</w:t>
      </w:r>
    </w:p>
    <w:p w:rsidR="00C82A61" w:rsidRPr="00CB46DF" w:rsidRDefault="00C82A61" w:rsidP="00CB46DF"/>
    <w:p w:rsidR="00CB46DF" w:rsidRPr="00CB46DF" w:rsidRDefault="00CB46DF" w:rsidP="00CB46DF">
      <w:r w:rsidRPr="00CB46DF">
        <w:t xml:space="preserve">La definición de competencias de investigación es trabajo cotidiano dentro de las IES; Moreno Bayardo (2005), por ejemplo ha presentado un perfil de habilidades a desarrollar en los procesos de la formación para la investigación ante el cual aclara, que no son reglas únicas o una normatividad a seguir, porque existe una multiplicidad de formas para lograr las competencias de investigación, sino un foco de atención o meta de referencia; en él se encuentran diferentes habilidades de percepción, instrumentales, de pensamiento, de construcción conceptual, de construcción metodológica, de construcción social del conocimiento y </w:t>
      </w:r>
      <w:proofErr w:type="spellStart"/>
      <w:r w:rsidRPr="00CB46DF">
        <w:t>metacognitivas</w:t>
      </w:r>
      <w:proofErr w:type="spellEnd"/>
      <w:r w:rsidRPr="00CB46DF">
        <w:t xml:space="preserve">, que caracterizó con tareas específicas. Estas habilidades están </w:t>
      </w:r>
      <w:r w:rsidRPr="00CB46DF">
        <w:lastRenderedPageBreak/>
        <w:t>relacionadas entre sí y aunque tienen un orden de aparición no significa que surjan de manera lineal o seriada.</w:t>
      </w:r>
    </w:p>
    <w:p w:rsidR="00C82A61" w:rsidRDefault="00C82A61" w:rsidP="00CB46DF"/>
    <w:p w:rsidR="00C82A61" w:rsidRPr="00C82A61" w:rsidRDefault="00B07011" w:rsidP="00C82A61">
      <w:r>
        <w:t>L</w:t>
      </w:r>
      <w:r w:rsidR="00C82A61" w:rsidRPr="00C82A61">
        <w:t>a investigación permite que los juicios se rijan por una racionalidad que ayuda a abandonar la actitud acientífica en relación con las interpretaciones prefijadas, proceso que, a su vez, da como resultado el cuestionamiento y la modificación de las creencias que suelen atar a los seres humanos. Por lo anterior, repensar la formación de la investigación implica no solo una ruptura con la tradicional forma de concebir la ciencia y la producción de conocimiento, sino también la adopción de una postura política frente a la función social del conocimiento, que permite tener claridad respecto al papel de la investi</w:t>
      </w:r>
      <w:r w:rsidR="00C82A61">
        <w:t>gación en el desarrollo social.</w:t>
      </w:r>
      <w:r w:rsidR="00C82A61" w:rsidRPr="00C82A61">
        <w:t xml:space="preserve"> </w:t>
      </w:r>
      <w:r w:rsidR="00AB32CA">
        <w:t>Campos Céspedes y Chinchilla Jiménez (2009) mencionan varias capacidades que se desarrollan a partir de esta formación por competencias para la investigación: ca</w:t>
      </w:r>
      <w:r w:rsidR="00C82A61" w:rsidRPr="00C82A61">
        <w:t>pacidad de desarrollar pensamiento crítico y de autorregular su proceso de pensamiento; de problematizar y plantear la interrogación como elemento seminal de la construcción de conocimiento; de buscar, valora</w:t>
      </w:r>
      <w:r w:rsidR="00AB32CA">
        <w:t xml:space="preserve">r y discriminar información; </w:t>
      </w:r>
      <w:r w:rsidR="00C82A61" w:rsidRPr="00C82A61">
        <w:t>para gestionar conocimiento; para valorar la pertinencia y relevancia de la investigación y para organizar, presentar y defender ideas suficientemente fu</w:t>
      </w:r>
      <w:r w:rsidR="00C82A61">
        <w:t>ndamentadas.</w:t>
      </w:r>
      <w:r w:rsidR="00C82A61" w:rsidRPr="00C82A61">
        <w:t xml:space="preserve"> </w:t>
      </w:r>
    </w:p>
    <w:p w:rsidR="00C82A61" w:rsidRDefault="00C82A61" w:rsidP="00CB46DF"/>
    <w:p w:rsidR="00CB46DF" w:rsidRDefault="00C82A61" w:rsidP="00CB46DF">
      <w:r>
        <w:t xml:space="preserve">Bajo esta concepción, </w:t>
      </w:r>
      <w:r w:rsidR="00AB32CA">
        <w:t>desde los</w:t>
      </w:r>
      <w:r w:rsidR="00CB46DF" w:rsidRPr="00CB46DF">
        <w:t xml:space="preserve"> años setentas y ochentas la formación en investigación se caracterizó por impartir cursos</w:t>
      </w:r>
      <w:r w:rsidR="00B07011">
        <w:t xml:space="preserve"> de </w:t>
      </w:r>
      <w:r w:rsidR="00971BEE">
        <w:t>“</w:t>
      </w:r>
      <w:r w:rsidR="00CB46DF" w:rsidRPr="00CB46DF">
        <w:t>metodología de la investigación</w:t>
      </w:r>
      <w:r w:rsidR="00971BEE">
        <w:t>”</w:t>
      </w:r>
      <w:r w:rsidR="00CB46DF" w:rsidRPr="00CB46DF">
        <w:t xml:space="preserve"> en términos de enseñar </w:t>
      </w:r>
      <w:r w:rsidR="00CB46DF" w:rsidRPr="00971BEE">
        <w:rPr>
          <w:i/>
        </w:rPr>
        <w:t>procesos</w:t>
      </w:r>
      <w:r w:rsidR="00CB46DF" w:rsidRPr="00CB46DF">
        <w:t xml:space="preserve"> para investigar, </w:t>
      </w:r>
      <w:r w:rsidR="00971BEE">
        <w:t xml:space="preserve">aunque </w:t>
      </w:r>
      <w:r w:rsidR="00CB46DF" w:rsidRPr="00CB46DF">
        <w:t>la finalidad general fue dotar de herramientas técnicas, más que teóricas, necesarias para hacer investigación, esta idea es mantenida actualmente</w:t>
      </w:r>
      <w:r>
        <w:t xml:space="preserve"> en un gran número de instituciones de educación superior, </w:t>
      </w:r>
      <w:r w:rsidR="00CB46DF" w:rsidRPr="00CB46DF">
        <w:t>por lo que es necesario seguir analizándola.</w:t>
      </w:r>
    </w:p>
    <w:p w:rsidR="00C82A61" w:rsidRDefault="00C82A61" w:rsidP="00CB46DF"/>
    <w:p w:rsidR="00BF10FE" w:rsidRDefault="00BF10FE" w:rsidP="00CB46DF">
      <w:r w:rsidRPr="00BF10FE">
        <w:t xml:space="preserve">La metodología entendida de esta manera podría tener sustento en lo que la UNESCO llamaba alfabetización científica: </w:t>
      </w:r>
      <w:r w:rsidRPr="00BF10FE">
        <w:rPr>
          <w:i/>
        </w:rPr>
        <w:t>“</w:t>
      </w:r>
      <w:r w:rsidRPr="00BF10FE">
        <w:t xml:space="preserve">conocimientos suficientes acerca de desarrollos científicos-tecnológicos que afectan en forma positiva y negativa a </w:t>
      </w:r>
      <w:r w:rsidRPr="00BF10FE">
        <w:lastRenderedPageBreak/>
        <w:t>nuestra vida” (Rosas Colín, 2008), porque el objetivo es que el estudiante conozca y analice los métodos utilizados en el trabajo científico pero sin llegar a plantearse una reflexión sobre el quehacer del investigador o una búsqueda de conocimiento nuevo.</w:t>
      </w:r>
    </w:p>
    <w:p w:rsidR="00BF10FE" w:rsidRPr="00CB46DF" w:rsidRDefault="00BF10FE" w:rsidP="00CB46DF"/>
    <w:p w:rsidR="00CB46DF" w:rsidRDefault="00971BEE" w:rsidP="00CB46DF">
      <w:r>
        <w:t>C</w:t>
      </w:r>
      <w:r w:rsidR="00CB46DF" w:rsidRPr="00CB46DF">
        <w:t>omo apoyo a estos cursos surgieron varios textos tipo manuales sobre la metodología de la investigación, que aún siguen formando parte de la bibliografía de las asignaturas de metodología de la investigación</w:t>
      </w:r>
      <w:r w:rsidR="00B07011">
        <w:t xml:space="preserve"> en las IES</w:t>
      </w:r>
      <w:r w:rsidR="00CB46DF" w:rsidRPr="00CB46DF">
        <w:t>. Algunos centrados solamente en aspectos de estilo; y, al parecer, tienen la misma importancia: la cantidad de hojas escritas, el formato de las referencias o la fuente y el estilo que el contenido de la investigación, por ejemplo la justificación, el planteamiento teórico, los resultados o conclusiones. Esto ha favorecido la conceptualización de la metodología de la investigación muy corta y diferentes autores también han contribuido a esto (Farías, 2005). No se descarta que la uniformidad en los documentos académicos sea importante, pero no debe reducirse a esto la metodología de la investigación.</w:t>
      </w:r>
    </w:p>
    <w:p w:rsidR="001B5319" w:rsidRPr="00CB46DF" w:rsidRDefault="001B5319" w:rsidP="00CB46DF"/>
    <w:p w:rsidR="00CB46DF" w:rsidRPr="00CB46DF" w:rsidRDefault="00CB46DF" w:rsidP="00CB46DF">
      <w:r w:rsidRPr="00CB46DF">
        <w:t>Otro tipo de manuales sobre metodología de la investigación estuvieron dedicados a establecer la estructura lógica de los contenidos de un protocolo o plan de investigación y de su producto o informe final. Bajo esta concepción, se entiende a la metodología de la investigación como una serie de pasos o etapas. Pero como menciona Moreno Bayardo (2005, p. 524), “existe una notable diferencia entre aprobar cursos de metodología y saber investigar”, esta idea se retomará más adelante.</w:t>
      </w:r>
    </w:p>
    <w:p w:rsidR="001B5319" w:rsidRDefault="001B5319" w:rsidP="00CB46DF"/>
    <w:p w:rsidR="00CB46DF" w:rsidRPr="00CB46DF" w:rsidRDefault="00CB46DF" w:rsidP="00CB46DF">
      <w:r w:rsidRPr="00CB46DF">
        <w:t>Los textos en esta categoría al seguir siendo, como se dijo, referencia en los cursos de metodología de la investigación, también han sido constantemente reimpresos (</w:t>
      </w:r>
      <w:r w:rsidR="001B5319">
        <w:t xml:space="preserve">solo </w:t>
      </w:r>
      <w:r w:rsidRPr="00CB46DF">
        <w:t xml:space="preserve">algunos pocos han sido editados). Se caracterizan por poner énfasis en temas como el planteamiento del problema, la definición de objetivos, de hipótesis, de variables elección de diseños experimentales o no experimentales, etc., puede encontrarse algunos que aborden al inicio de la obra </w:t>
      </w:r>
      <w:r w:rsidRPr="00CB46DF">
        <w:lastRenderedPageBreak/>
        <w:t>cuestiones sobre la ciencia, datos sobre la filosofía de la ciencia o la diferenciación de enfoques cualitativo y cuantitativo</w:t>
      </w:r>
      <w:r w:rsidR="00B07011">
        <w:t>,</w:t>
      </w:r>
      <w:r w:rsidRPr="00CB46DF">
        <w:t xml:space="preserve"> pero son apartados y realmente separados del proceso que proponen al seguir una investigación.</w:t>
      </w:r>
    </w:p>
    <w:p w:rsidR="00CB46DF" w:rsidRDefault="00CB46DF" w:rsidP="00CB46DF"/>
    <w:p w:rsidR="00CB46DF" w:rsidRDefault="00CB46DF" w:rsidP="00CB46DF">
      <w:r w:rsidRPr="00CB46DF">
        <w:t>E</w:t>
      </w:r>
      <w:r w:rsidR="001B5319">
        <w:t>l erro</w:t>
      </w:r>
      <w:r w:rsidRPr="00CB46DF">
        <w:t xml:space="preserve">r que </w:t>
      </w:r>
      <w:r w:rsidR="001B5319">
        <w:t>señala</w:t>
      </w:r>
      <w:r w:rsidRPr="00CB46DF">
        <w:t xml:space="preserve"> Rueda Delgado (2007)</w:t>
      </w:r>
      <w:r w:rsidR="001B5319">
        <w:t xml:space="preserve"> es que “s</w:t>
      </w:r>
      <w:r w:rsidRPr="00CB46DF">
        <w:t>e enseña la investigación desde los métodos y procedimientos y se les denomina metodología de la inve</w:t>
      </w:r>
      <w:r w:rsidR="001B5319">
        <w:t>stigación, a dichas asignaturas” [y no desde la teoría</w:t>
      </w:r>
      <w:r w:rsidR="001B5319">
        <w:rPr>
          <w:rStyle w:val="Refdenotaalpie"/>
        </w:rPr>
        <w:footnoteReference w:id="5"/>
      </w:r>
      <w:r w:rsidR="001B5319">
        <w:t>], además, s</w:t>
      </w:r>
      <w:r w:rsidRPr="00CB46DF">
        <w:t>e complica a</w:t>
      </w:r>
      <w:r w:rsidR="001B5319">
        <w:t>ú</w:t>
      </w:r>
      <w:r w:rsidRPr="00CB46DF">
        <w:t>n más el asunto cuando se sigue e</w:t>
      </w:r>
      <w:r w:rsidR="001B5319">
        <w:t>l método científico tradicional</w:t>
      </w:r>
      <w:r w:rsidRPr="00CB46DF">
        <w:t>” (p. 122)</w:t>
      </w:r>
      <w:r w:rsidR="001B5319">
        <w:t>, este será el punto de análisis del siguiente apartado.</w:t>
      </w:r>
    </w:p>
    <w:p w:rsidR="001B5319" w:rsidRDefault="001B5319" w:rsidP="00CB46DF"/>
    <w:p w:rsidR="001B5319" w:rsidRPr="00CB46DF" w:rsidRDefault="001B5319" w:rsidP="00CB46DF"/>
    <w:p w:rsidR="00CB46DF" w:rsidRPr="00CB46DF" w:rsidRDefault="001B5319" w:rsidP="003E1A0D">
      <w:pPr>
        <w:pStyle w:val="Ttulo2"/>
      </w:pPr>
      <w:bookmarkStart w:id="13" w:name="_Toc308691481"/>
      <w:r w:rsidRPr="00CB46DF">
        <w:t>Metodología</w:t>
      </w:r>
      <w:r>
        <w:t>,</w:t>
      </w:r>
      <w:r w:rsidRPr="00CB46DF">
        <w:t xml:space="preserve"> dentro de la concepción de ciencia unificada</w:t>
      </w:r>
      <w:bookmarkEnd w:id="13"/>
    </w:p>
    <w:p w:rsidR="001B5319" w:rsidRDefault="001B5319" w:rsidP="00CB46DF"/>
    <w:p w:rsidR="00196DE3" w:rsidRDefault="001B5319" w:rsidP="00CB46DF">
      <w:r>
        <w:t>Aunque no puede considerarse, obviamente, que la idea de la ciencia unificada surgiera en respuesta a las necesidades o planteamientos que desde las IES se tenían respecto a la metodología</w:t>
      </w:r>
      <w:r w:rsidR="006A4D17">
        <w:t>, si puede decirse que fue retomada por ellas para enmarcar los cursos de metodología de la investigación y también por los textos de los que se hablaba en el apartado anterior</w:t>
      </w:r>
      <w:r w:rsidR="00196DE3">
        <w:t>, es por ello que será el siguiente punto de análisis en este proceso de conceptualizar a la metodología de la ciencia</w:t>
      </w:r>
      <w:r w:rsidR="006A4D17">
        <w:t xml:space="preserve">. </w:t>
      </w:r>
    </w:p>
    <w:p w:rsidR="00196DE3" w:rsidRDefault="00196DE3" w:rsidP="00CB46DF"/>
    <w:p w:rsidR="00CB46DF" w:rsidRDefault="00CB46DF" w:rsidP="00CB46DF">
      <w:r w:rsidRPr="00CB46DF">
        <w:t>En las últimas décadas del siglo pasado tomó un papel fundamental el estudio del método, inscrito en la búsqueda de la unificación de la ciencia, en cuanto a que se habla</w:t>
      </w:r>
      <w:r w:rsidR="00B07011">
        <w:t>ba</w:t>
      </w:r>
      <w:r w:rsidRPr="00CB46DF">
        <w:t xml:space="preserve"> de un mismo método, un mismo lenguaje, una misma ontología de los objetos de estudio</w:t>
      </w:r>
      <w:r w:rsidR="00196DE3">
        <w:t>, etc.</w:t>
      </w:r>
      <w:r w:rsidRPr="00CB46DF">
        <w:t xml:space="preserve"> en el desarrollo del conocimiento científico.</w:t>
      </w:r>
    </w:p>
    <w:p w:rsidR="00196DE3" w:rsidRPr="00CB46DF" w:rsidRDefault="00196DE3" w:rsidP="00CB46DF"/>
    <w:p w:rsidR="00CB46DF" w:rsidRPr="00CB46DF" w:rsidRDefault="00196DE3" w:rsidP="00CB46DF">
      <w:r>
        <w:t xml:space="preserve">Esta visión impactó en el desarrollo de textos </w:t>
      </w:r>
      <w:r w:rsidR="00CB46DF" w:rsidRPr="00CB46DF">
        <w:t>dedicados a enmarcar</w:t>
      </w:r>
      <w:r>
        <w:t xml:space="preserve"> en</w:t>
      </w:r>
      <w:r w:rsidR="00CB46DF" w:rsidRPr="00CB46DF">
        <w:t xml:space="preserve"> la concepción de ciencia unificada</w:t>
      </w:r>
      <w:r w:rsidR="00D91272">
        <w:t>:</w:t>
      </w:r>
      <w:r w:rsidR="00CB46DF" w:rsidRPr="00CB46DF">
        <w:t xml:space="preserve"> retomando reflexiones de la filosofía de la ciencia, principalmente desde la perspectiva positivista los más antiguos y ya, con </w:t>
      </w:r>
      <w:r w:rsidR="00CB46DF" w:rsidRPr="00CB46DF">
        <w:lastRenderedPageBreak/>
        <w:t>un espacio equiparable, una perspectiva interpretativa o</w:t>
      </w:r>
      <w:r>
        <w:t xml:space="preserve"> cualitativa</w:t>
      </w:r>
      <w:r>
        <w:rPr>
          <w:rStyle w:val="Refdenotaalpie"/>
        </w:rPr>
        <w:footnoteReference w:id="6"/>
      </w:r>
      <w:r>
        <w:t>, los más recientes, cualquier proceso de investigación</w:t>
      </w:r>
      <w:r w:rsidR="004C6D15">
        <w:t>.</w:t>
      </w:r>
      <w:r w:rsidR="00BF10FE">
        <w:t xml:space="preserve"> </w:t>
      </w:r>
      <w:r w:rsidR="00BF10FE" w:rsidRPr="00BF10FE">
        <w:t>Es importante mencionar que la mayoría de esfuerzos por sistematizar el estudio, presentación y aprendizaje de métodos proviene de disciplinas sociales</w:t>
      </w:r>
      <w:r w:rsidR="00BF10FE">
        <w:t>.</w:t>
      </w:r>
    </w:p>
    <w:p w:rsidR="00CB46DF" w:rsidRPr="00CB46DF" w:rsidRDefault="00CB46DF" w:rsidP="00CB46DF"/>
    <w:p w:rsidR="00CB46DF" w:rsidRPr="00CB46DF" w:rsidRDefault="00BF10FE" w:rsidP="00CB46DF">
      <w:pPr>
        <w:rPr>
          <w:rFonts w:eastAsiaTheme="majorEastAsia" w:cstheme="majorBidi"/>
          <w:bCs/>
          <w:szCs w:val="26"/>
        </w:rPr>
      </w:pPr>
      <w:r>
        <w:t xml:space="preserve">Así, la metodología fue considerada una ciencia, </w:t>
      </w:r>
      <w:proofErr w:type="spellStart"/>
      <w:r w:rsidR="00CB46DF" w:rsidRPr="00CB46DF">
        <w:rPr>
          <w:rFonts w:eastAsiaTheme="majorEastAsia" w:cstheme="majorBidi"/>
          <w:bCs/>
          <w:szCs w:val="26"/>
          <w:lang w:val="es-ES"/>
        </w:rPr>
        <w:t>Morles</w:t>
      </w:r>
      <w:proofErr w:type="spellEnd"/>
      <w:r w:rsidR="00CB46DF" w:rsidRPr="00CB46DF">
        <w:rPr>
          <w:rFonts w:eastAsiaTheme="majorEastAsia" w:cstheme="majorBidi"/>
          <w:bCs/>
          <w:szCs w:val="26"/>
          <w:lang w:val="es-ES"/>
        </w:rPr>
        <w:t xml:space="preserve"> </w:t>
      </w:r>
      <w:r w:rsidR="00CB46DF" w:rsidRPr="00CB46DF">
        <w:rPr>
          <w:rFonts w:eastAsiaTheme="majorEastAsia" w:cstheme="majorBidi"/>
          <w:bCs/>
          <w:szCs w:val="26"/>
        </w:rPr>
        <w:t>(2002)</w:t>
      </w:r>
      <w:r w:rsidR="00CB46DF" w:rsidRPr="00CB46DF">
        <w:rPr>
          <w:rFonts w:eastAsiaTheme="majorEastAsia" w:cstheme="majorBidi"/>
          <w:bCs/>
          <w:szCs w:val="26"/>
          <w:lang w:val="es-ES"/>
        </w:rPr>
        <w:t xml:space="preserve"> indica que es una ciencia en desarrollo, y la caracteriza como amplia, compleja y </w:t>
      </w:r>
      <w:proofErr w:type="spellStart"/>
      <w:r w:rsidR="00CB46DF" w:rsidRPr="00CB46DF">
        <w:rPr>
          <w:rFonts w:eastAsiaTheme="majorEastAsia" w:cstheme="majorBidi"/>
          <w:bCs/>
          <w:szCs w:val="26"/>
          <w:lang w:val="es-ES"/>
        </w:rPr>
        <w:t>transdisciplinar</w:t>
      </w:r>
      <w:r>
        <w:rPr>
          <w:rFonts w:eastAsiaTheme="majorEastAsia" w:cstheme="majorBidi"/>
          <w:bCs/>
          <w:szCs w:val="26"/>
          <w:lang w:val="es-ES"/>
        </w:rPr>
        <w:t>i</w:t>
      </w:r>
      <w:r w:rsidR="00CB46DF" w:rsidRPr="00CB46DF">
        <w:rPr>
          <w:rFonts w:eastAsiaTheme="majorEastAsia" w:cstheme="majorBidi"/>
          <w:bCs/>
          <w:szCs w:val="26"/>
          <w:lang w:val="es-ES"/>
        </w:rPr>
        <w:t>a</w:t>
      </w:r>
      <w:proofErr w:type="spellEnd"/>
      <w:r w:rsidR="00CB46DF" w:rsidRPr="00CB46DF">
        <w:rPr>
          <w:rFonts w:eastAsiaTheme="majorEastAsia" w:cstheme="majorBidi"/>
          <w:bCs/>
          <w:szCs w:val="26"/>
          <w:lang w:val="es-ES"/>
        </w:rPr>
        <w:t xml:space="preserve"> que tiene como objeto de estudio los métodos.</w:t>
      </w:r>
      <w:r>
        <w:rPr>
          <w:rFonts w:eastAsiaTheme="majorEastAsia" w:cstheme="majorBidi"/>
          <w:bCs/>
          <w:szCs w:val="26"/>
          <w:lang w:val="es-ES"/>
        </w:rPr>
        <w:t xml:space="preserve"> </w:t>
      </w:r>
      <w:r w:rsidR="00CB46DF" w:rsidRPr="00CB46DF">
        <w:rPr>
          <w:rFonts w:eastAsiaTheme="majorEastAsia" w:cstheme="majorBidi"/>
          <w:bCs/>
          <w:szCs w:val="26"/>
        </w:rPr>
        <w:t>Serrano (1990) menciona que tiene como objetivo el examen de los distintos procedimientos que se pueden utilizar en la actividad científica, al analizarlos, evaluar sus alcances y su adecuación, compararlos, recomendar ciertas modificaciones en caso de que se ameriten y proponer nuevos métodos que se adapten a las nuevas interrogantes de la ciencia.</w:t>
      </w:r>
      <w:r>
        <w:rPr>
          <w:rFonts w:eastAsiaTheme="majorEastAsia" w:cstheme="majorBidi"/>
          <w:bCs/>
          <w:szCs w:val="26"/>
        </w:rPr>
        <w:t xml:space="preserve"> </w:t>
      </w:r>
      <w:proofErr w:type="spellStart"/>
      <w:r w:rsidR="00CB46DF" w:rsidRPr="00CB46DF">
        <w:rPr>
          <w:rFonts w:eastAsiaTheme="majorEastAsia" w:cstheme="majorBidi"/>
          <w:bCs/>
          <w:szCs w:val="26"/>
        </w:rPr>
        <w:t>Festinger</w:t>
      </w:r>
      <w:proofErr w:type="spellEnd"/>
      <w:r w:rsidR="00CB46DF" w:rsidRPr="00CB46DF">
        <w:rPr>
          <w:rFonts w:eastAsiaTheme="majorEastAsia" w:cstheme="majorBidi"/>
          <w:bCs/>
          <w:szCs w:val="26"/>
        </w:rPr>
        <w:t xml:space="preserve"> y </w:t>
      </w:r>
      <w:proofErr w:type="spellStart"/>
      <w:r w:rsidR="00CB46DF" w:rsidRPr="00CB46DF">
        <w:rPr>
          <w:rFonts w:eastAsiaTheme="majorEastAsia" w:cstheme="majorBidi"/>
          <w:bCs/>
          <w:szCs w:val="26"/>
        </w:rPr>
        <w:t>Katz</w:t>
      </w:r>
      <w:proofErr w:type="spellEnd"/>
      <w:r w:rsidR="00CB46DF" w:rsidRPr="00CB46DF">
        <w:rPr>
          <w:rFonts w:eastAsiaTheme="majorEastAsia" w:cstheme="majorBidi"/>
          <w:bCs/>
          <w:szCs w:val="26"/>
        </w:rPr>
        <w:t xml:space="preserve"> (1989) dicen que es el refinamiento, la estandarización y la codificación, de los métodos de la investigación.</w:t>
      </w:r>
      <w:r>
        <w:rPr>
          <w:rFonts w:eastAsiaTheme="majorEastAsia" w:cstheme="majorBidi"/>
          <w:bCs/>
          <w:szCs w:val="26"/>
        </w:rPr>
        <w:t xml:space="preserve"> </w:t>
      </w:r>
      <w:r w:rsidR="00CB46DF" w:rsidRPr="00CB46DF">
        <w:rPr>
          <w:rFonts w:eastAsiaTheme="majorEastAsia" w:cstheme="majorBidi"/>
          <w:bCs/>
          <w:szCs w:val="26"/>
        </w:rPr>
        <w:t xml:space="preserve">Gutiérrez Pantoja (1984) señala que la metodología es la </w:t>
      </w:r>
      <w:r w:rsidR="00CB46DF" w:rsidRPr="00CB46DF">
        <w:rPr>
          <w:rFonts w:eastAsiaTheme="majorEastAsia" w:cstheme="majorBidi"/>
          <w:bCs/>
          <w:szCs w:val="26"/>
          <w:lang w:val="es-ES"/>
        </w:rPr>
        <w:t xml:space="preserve">disciplina en la que se estudia, analiza, promueve y depura el método, el cual se multiplica y particulariza de acuerdo con las ramas de las diferentes disciplinas científicas existentes, aunque también puede ser entendida como </w:t>
      </w:r>
      <w:r w:rsidR="00CB46DF" w:rsidRPr="00CB46DF">
        <w:rPr>
          <w:rFonts w:eastAsiaTheme="majorEastAsia" w:cstheme="majorBidi"/>
          <w:bCs/>
          <w:szCs w:val="26"/>
        </w:rPr>
        <w:t>la lógica que tiene una investigación.</w:t>
      </w:r>
      <w:r>
        <w:rPr>
          <w:rFonts w:eastAsiaTheme="majorEastAsia" w:cstheme="majorBidi"/>
          <w:bCs/>
          <w:szCs w:val="26"/>
        </w:rPr>
        <w:t xml:space="preserve"> </w:t>
      </w:r>
      <w:r w:rsidR="00CB46DF" w:rsidRPr="00CB46DF">
        <w:rPr>
          <w:rFonts w:eastAsiaTheme="majorEastAsia" w:cstheme="majorBidi"/>
          <w:bCs/>
          <w:szCs w:val="26"/>
        </w:rPr>
        <w:t>De la Torre Villar y Navarro de Anda (1985) refieren que una metodología no es otra cosa que un conjunto de proposiciones lógicas, graduadas y jerarquizadas, destinadas a facilidad y mejorar el ejercicio intelectual, la capacidad creadora de la menta humana en cualquier ramo del saber.</w:t>
      </w:r>
    </w:p>
    <w:p w:rsidR="00BF10FE" w:rsidRDefault="00BF10FE" w:rsidP="00CB46DF">
      <w:pPr>
        <w:rPr>
          <w:rFonts w:eastAsiaTheme="majorEastAsia" w:cstheme="majorBidi"/>
          <w:bCs/>
          <w:szCs w:val="26"/>
        </w:rPr>
      </w:pPr>
    </w:p>
    <w:p w:rsidR="00BF10FE" w:rsidRDefault="00CB46DF" w:rsidP="00CB46DF">
      <w:pPr>
        <w:rPr>
          <w:rFonts w:eastAsiaTheme="majorEastAsia" w:cstheme="majorBidi"/>
          <w:bCs/>
          <w:szCs w:val="26"/>
        </w:rPr>
      </w:pPr>
      <w:r w:rsidRPr="00CB46DF">
        <w:rPr>
          <w:rFonts w:eastAsiaTheme="majorEastAsia" w:cstheme="majorBidi"/>
          <w:bCs/>
          <w:szCs w:val="26"/>
        </w:rPr>
        <w:t>García</w:t>
      </w:r>
      <w:r w:rsidRPr="00CB46DF">
        <w:rPr>
          <w:rFonts w:eastAsiaTheme="majorEastAsia" w:cstheme="majorBidi"/>
          <w:bCs/>
          <w:szCs w:val="26"/>
          <w:lang w:val="es-ES"/>
        </w:rPr>
        <w:t xml:space="preserve"> Avilés</w:t>
      </w:r>
      <w:r w:rsidRPr="00CB46DF">
        <w:rPr>
          <w:rFonts w:eastAsiaTheme="majorEastAsia" w:cstheme="majorBidi"/>
          <w:bCs/>
          <w:szCs w:val="26"/>
        </w:rPr>
        <w:t xml:space="preserve"> (1997)</w:t>
      </w:r>
      <w:r w:rsidRPr="00CB46DF">
        <w:rPr>
          <w:rFonts w:eastAsiaTheme="majorEastAsia" w:cstheme="majorBidi"/>
          <w:bCs/>
          <w:szCs w:val="26"/>
          <w:lang w:val="es-ES"/>
        </w:rPr>
        <w:t xml:space="preserve"> dice que la metodología constituye la Teoría acerca del Método; y menciona que cumple dos finalidades: una específica y la otra concreta, explica que la primera se refiere a la necesidad de reflejar las regularidades de la realidad objetiva del conocimiento y, de ese modo, orientar a los hombres en el proceso de su actividad cognoscitiva y práctica, mientras que la segunda, la concreta, se dirige a la búsqueda y fundamentación teórica de los métodos adecuados para una ciencia dada, la formulación de las reglas para operar con </w:t>
      </w:r>
      <w:r w:rsidRPr="00CB46DF">
        <w:rPr>
          <w:rFonts w:eastAsiaTheme="majorEastAsia" w:cstheme="majorBidi"/>
          <w:bCs/>
          <w:szCs w:val="26"/>
          <w:lang w:val="es-ES"/>
        </w:rPr>
        <w:lastRenderedPageBreak/>
        <w:t xml:space="preserve">ellos, la determinación de sus posibilidades cognoscitivas y de su esfera de aplicación. </w:t>
      </w:r>
      <w:r w:rsidR="00BF10FE">
        <w:rPr>
          <w:rFonts w:eastAsiaTheme="majorEastAsia" w:cstheme="majorBidi"/>
          <w:bCs/>
          <w:szCs w:val="26"/>
          <w:lang w:val="es-ES"/>
        </w:rPr>
        <w:t xml:space="preserve">Este autor coincide con </w:t>
      </w:r>
      <w:proofErr w:type="spellStart"/>
      <w:r w:rsidR="00BF10FE">
        <w:rPr>
          <w:rFonts w:eastAsiaTheme="majorEastAsia" w:cstheme="majorBidi"/>
          <w:bCs/>
          <w:szCs w:val="26"/>
          <w:lang w:val="es-ES"/>
        </w:rPr>
        <w:t>Gianella</w:t>
      </w:r>
      <w:proofErr w:type="spellEnd"/>
      <w:r w:rsidR="00BF10FE">
        <w:rPr>
          <w:rFonts w:eastAsiaTheme="majorEastAsia" w:cstheme="majorBidi"/>
          <w:bCs/>
          <w:szCs w:val="26"/>
          <w:lang w:val="es-ES"/>
        </w:rPr>
        <w:t xml:space="preserve"> (1999), en que </w:t>
      </w:r>
      <w:r w:rsidRPr="00CB46DF">
        <w:rPr>
          <w:rFonts w:eastAsiaTheme="majorEastAsia" w:cstheme="majorBidi"/>
          <w:bCs/>
          <w:szCs w:val="26"/>
          <w:lang w:val="es-ES"/>
        </w:rPr>
        <w:t xml:space="preserve">aunque los métodos tienen principios que valen para todas las ciencias y disciplinas cada una los utiliza o individualiza dependiendo de la exigencia de su objeto de estudio y la especificidad del mismo. Al respecto, </w:t>
      </w:r>
      <w:proofErr w:type="spellStart"/>
      <w:r w:rsidRPr="00CB46DF">
        <w:rPr>
          <w:rFonts w:eastAsiaTheme="majorEastAsia" w:cstheme="majorBidi"/>
          <w:bCs/>
          <w:szCs w:val="26"/>
          <w:lang w:val="es-ES"/>
        </w:rPr>
        <w:t>Ander-Egg</w:t>
      </w:r>
      <w:proofErr w:type="spellEnd"/>
      <w:r w:rsidRPr="00CB46DF">
        <w:rPr>
          <w:rFonts w:eastAsiaTheme="majorEastAsia" w:cstheme="majorBidi"/>
          <w:bCs/>
          <w:szCs w:val="26"/>
          <w:lang w:val="es-ES"/>
        </w:rPr>
        <w:t xml:space="preserve"> </w:t>
      </w:r>
      <w:r w:rsidRPr="00CB46DF">
        <w:rPr>
          <w:rFonts w:eastAsiaTheme="majorEastAsia" w:cstheme="majorBidi"/>
          <w:bCs/>
          <w:szCs w:val="26"/>
        </w:rPr>
        <w:t>(1995)</w:t>
      </w:r>
      <w:r w:rsidRPr="00CB46DF">
        <w:rPr>
          <w:rFonts w:eastAsiaTheme="majorEastAsia" w:cstheme="majorBidi"/>
          <w:bCs/>
          <w:szCs w:val="26"/>
          <w:lang w:val="es-ES"/>
        </w:rPr>
        <w:t xml:space="preserve"> advertía que no </w:t>
      </w:r>
      <w:r w:rsidRPr="00CB46DF">
        <w:rPr>
          <w:rFonts w:eastAsiaTheme="majorEastAsia" w:cstheme="majorBidi"/>
          <w:bCs/>
          <w:szCs w:val="26"/>
        </w:rPr>
        <w:t xml:space="preserve">debe pensarse que lo métodos son totalmente transferibles. </w:t>
      </w:r>
    </w:p>
    <w:p w:rsidR="00BF10FE" w:rsidRDefault="00BF10FE" w:rsidP="00CB46DF">
      <w:pPr>
        <w:rPr>
          <w:rFonts w:eastAsiaTheme="majorEastAsia" w:cstheme="majorBidi"/>
          <w:bCs/>
          <w:szCs w:val="26"/>
        </w:rPr>
      </w:pPr>
    </w:p>
    <w:p w:rsidR="00BF10FE" w:rsidRDefault="00BF10FE" w:rsidP="00CB46DF">
      <w:pPr>
        <w:rPr>
          <w:rFonts w:eastAsiaTheme="majorEastAsia" w:cstheme="majorBidi"/>
          <w:bCs/>
          <w:szCs w:val="26"/>
        </w:rPr>
      </w:pPr>
      <w:r w:rsidRPr="00BF10FE">
        <w:rPr>
          <w:rFonts w:eastAsiaTheme="majorEastAsia" w:cstheme="majorBidi"/>
          <w:bCs/>
          <w:szCs w:val="26"/>
        </w:rPr>
        <w:t xml:space="preserve">A partir del estudio del método y su unificación se postularon tres niveles, se tienen: métodos universales (cuantitativo, cualitativo); métodos generales (inducción, deducción, análisis, síntesis, analogía, definición), métodos específicos de conocimiento (técnicas correspondientes a cada disciplina). </w:t>
      </w:r>
    </w:p>
    <w:p w:rsidR="00BF10FE" w:rsidRDefault="00BF10FE" w:rsidP="00CB46DF">
      <w:pPr>
        <w:rPr>
          <w:rFonts w:eastAsiaTheme="majorEastAsia" w:cstheme="majorBidi"/>
          <w:bCs/>
          <w:szCs w:val="26"/>
        </w:rPr>
      </w:pPr>
    </w:p>
    <w:p w:rsidR="00CB46DF" w:rsidRDefault="00CB46DF" w:rsidP="00CB46DF">
      <w:pPr>
        <w:rPr>
          <w:rFonts w:eastAsiaTheme="majorEastAsia" w:cstheme="majorBidi"/>
          <w:bCs/>
          <w:szCs w:val="26"/>
          <w:lang w:val="es-ES"/>
        </w:rPr>
      </w:pPr>
      <w:r w:rsidRPr="00CB46DF">
        <w:rPr>
          <w:rFonts w:eastAsiaTheme="majorEastAsia" w:cstheme="majorBidi"/>
          <w:bCs/>
          <w:szCs w:val="26"/>
        </w:rPr>
        <w:t xml:space="preserve">La metodología universal, es entendida como una metodología filosófica pues se considera el método en su sentido más elevado y general, es decir, </w:t>
      </w:r>
      <w:r w:rsidRPr="00CB46DF">
        <w:rPr>
          <w:rFonts w:eastAsiaTheme="majorEastAsia" w:cstheme="majorBidi"/>
          <w:bCs/>
          <w:szCs w:val="26"/>
          <w:lang w:val="es-ES"/>
        </w:rPr>
        <w:t xml:space="preserve">está constituido por la aplicación de determinada concepción filosófica del mundo, materialista o idealista, adaptable a todo el conocimiento científico y en el ámbito de cualquier ciencia o disciplina. </w:t>
      </w:r>
      <w:proofErr w:type="spellStart"/>
      <w:r w:rsidRPr="00CB46DF">
        <w:rPr>
          <w:rFonts w:eastAsiaTheme="majorEastAsia" w:cstheme="majorBidi"/>
          <w:bCs/>
          <w:szCs w:val="26"/>
          <w:lang w:val="es-ES"/>
        </w:rPr>
        <w:t>Grawitz</w:t>
      </w:r>
      <w:proofErr w:type="spellEnd"/>
      <w:r w:rsidRPr="00CB46DF">
        <w:rPr>
          <w:rFonts w:eastAsiaTheme="majorEastAsia" w:cstheme="majorBidi"/>
          <w:bCs/>
          <w:szCs w:val="26"/>
          <w:lang w:val="es-ES"/>
        </w:rPr>
        <w:t xml:space="preserve"> (1984) menciona que se trata de los puntos de vista filosóficos que definen la posición del investigador ante el objeto; siendo por ende, el conjunto de reglas independientes de toda investigación y de contenido particular, que aspiran a procesos y formas de razonamiento y de percepción de la realidad y también en cuanto a actitud concreta en relación con el objeto, de forma más o menos precisa o imperativa, completa y sistematizada. García Avilés (1997) indica que </w:t>
      </w:r>
      <w:r w:rsidR="00AB32CA">
        <w:rPr>
          <w:rFonts w:eastAsiaTheme="majorEastAsia" w:cstheme="majorBidi"/>
          <w:bCs/>
          <w:szCs w:val="26"/>
          <w:lang w:val="es-ES"/>
        </w:rPr>
        <w:t>solo</w:t>
      </w:r>
      <w:r w:rsidRPr="00CB46DF">
        <w:rPr>
          <w:rFonts w:eastAsiaTheme="majorEastAsia" w:cstheme="majorBidi"/>
          <w:bCs/>
          <w:szCs w:val="26"/>
          <w:lang w:val="es-ES"/>
        </w:rPr>
        <w:t xml:space="preserve"> la filosofía dialéctico-materialista ha elaborado una metodología semejante, pues las corrientes idealistas y positivistas desdeñan el papel de la filosofía de la ciencia. Sin embargo aquí también debería incluirse el enfoque cualitativo, que aunque, sus diferentes vertientes no parten de un origen común, comparten ciertas cuestiones epistemológicas acerca de la realidad y de la posibilidad del conocimiento</w:t>
      </w:r>
      <w:r w:rsidRPr="00CB46DF">
        <w:rPr>
          <w:rFonts w:eastAsiaTheme="majorEastAsia" w:cstheme="majorBidi"/>
          <w:bCs/>
          <w:szCs w:val="26"/>
        </w:rPr>
        <w:t xml:space="preserve"> (Barriga &amp; </w:t>
      </w:r>
      <w:proofErr w:type="spellStart"/>
      <w:r w:rsidRPr="00CB46DF">
        <w:rPr>
          <w:rFonts w:eastAsiaTheme="majorEastAsia" w:cstheme="majorBidi"/>
          <w:bCs/>
          <w:szCs w:val="26"/>
        </w:rPr>
        <w:t>Herníquez</w:t>
      </w:r>
      <w:proofErr w:type="spellEnd"/>
      <w:r w:rsidRPr="00CB46DF">
        <w:rPr>
          <w:rFonts w:eastAsiaTheme="majorEastAsia" w:cstheme="majorBidi"/>
          <w:bCs/>
          <w:szCs w:val="26"/>
        </w:rPr>
        <w:t>, 2004)</w:t>
      </w:r>
      <w:r w:rsidRPr="00CB46DF">
        <w:rPr>
          <w:rFonts w:eastAsiaTheme="majorEastAsia" w:cstheme="majorBidi"/>
          <w:bCs/>
          <w:szCs w:val="26"/>
          <w:lang w:val="es-ES"/>
        </w:rPr>
        <w:t>.</w:t>
      </w:r>
    </w:p>
    <w:p w:rsidR="00D96CE0" w:rsidRPr="00CB46DF" w:rsidRDefault="00D96CE0" w:rsidP="00CB46DF">
      <w:pPr>
        <w:rPr>
          <w:rFonts w:eastAsiaTheme="majorEastAsia" w:cstheme="majorBidi"/>
          <w:bCs/>
          <w:szCs w:val="26"/>
          <w:lang w:val="es-ES"/>
        </w:rPr>
      </w:pPr>
    </w:p>
    <w:p w:rsidR="00CB46DF" w:rsidRPr="00CB46DF" w:rsidRDefault="00CB46DF" w:rsidP="00CB46DF">
      <w:pPr>
        <w:rPr>
          <w:rFonts w:eastAsiaTheme="majorEastAsia" w:cstheme="majorBidi"/>
          <w:bCs/>
          <w:szCs w:val="26"/>
        </w:rPr>
      </w:pPr>
      <w:r w:rsidRPr="00CB46DF">
        <w:rPr>
          <w:rFonts w:eastAsiaTheme="majorEastAsia" w:cstheme="majorBidi"/>
          <w:bCs/>
          <w:szCs w:val="26"/>
          <w:lang w:val="es-ES"/>
        </w:rPr>
        <w:t>En el segundo nivel, la metodología general, trata todos los métodos empleados en distintas ramas del conocimiento, aplicables a cualquier tipo de saberes, por</w:t>
      </w:r>
      <w:r w:rsidR="001E079A">
        <w:rPr>
          <w:rFonts w:eastAsiaTheme="majorEastAsia" w:cstheme="majorBidi"/>
          <w:bCs/>
          <w:szCs w:val="26"/>
          <w:lang w:val="es-ES"/>
        </w:rPr>
        <w:t xml:space="preserve"> </w:t>
      </w:r>
      <w:r w:rsidRPr="00CB46DF">
        <w:rPr>
          <w:rFonts w:eastAsiaTheme="majorEastAsia" w:cstheme="majorBidi"/>
          <w:bCs/>
          <w:szCs w:val="26"/>
          <w:lang w:val="es-ES"/>
        </w:rPr>
        <w:lastRenderedPageBreak/>
        <w:t>ejemplo, el método de la definición de conceptos, o los métodos de inferencia inductiva, deductiva, asimismo, la idealización (uso de modelos y experimento mental, imaginado), la formalización, la analogía, el análisis y la síntesis y la formulación de hipót</w:t>
      </w:r>
      <w:r w:rsidR="00D96CE0">
        <w:rPr>
          <w:rFonts w:eastAsiaTheme="majorEastAsia" w:cstheme="majorBidi"/>
          <w:bCs/>
          <w:szCs w:val="26"/>
          <w:lang w:val="es-ES"/>
        </w:rPr>
        <w:t>esis o conjeturas</w:t>
      </w:r>
      <w:r w:rsidRPr="00CB46DF">
        <w:rPr>
          <w:rFonts w:eastAsiaTheme="majorEastAsia" w:cstheme="majorBidi"/>
          <w:bCs/>
          <w:szCs w:val="26"/>
          <w:lang w:val="es-ES"/>
        </w:rPr>
        <w:t xml:space="preserve"> (García Avilés, 1997; Rodríguez de Rivera, 1999).</w:t>
      </w:r>
      <w:r w:rsidR="001E079A">
        <w:rPr>
          <w:rFonts w:eastAsiaTheme="majorEastAsia" w:cstheme="majorBidi"/>
          <w:bCs/>
          <w:szCs w:val="26"/>
          <w:lang w:val="es-ES"/>
        </w:rPr>
        <w:t xml:space="preserve"> </w:t>
      </w:r>
      <w:r w:rsidRPr="00CB46DF">
        <w:rPr>
          <w:rFonts w:eastAsiaTheme="majorEastAsia" w:cstheme="majorBidi"/>
          <w:bCs/>
          <w:szCs w:val="26"/>
          <w:lang w:val="es-ES"/>
        </w:rPr>
        <w:t xml:space="preserve">Dentro de este nivel, </w:t>
      </w:r>
      <w:proofErr w:type="spellStart"/>
      <w:r w:rsidRPr="00CB46DF">
        <w:rPr>
          <w:rFonts w:eastAsiaTheme="majorEastAsia" w:cstheme="majorBidi"/>
          <w:bCs/>
          <w:szCs w:val="26"/>
          <w:lang w:val="es-ES"/>
        </w:rPr>
        <w:t>Gianella</w:t>
      </w:r>
      <w:proofErr w:type="spellEnd"/>
      <w:r w:rsidRPr="00CB46DF">
        <w:rPr>
          <w:rFonts w:eastAsiaTheme="majorEastAsia" w:cstheme="majorBidi"/>
          <w:bCs/>
          <w:szCs w:val="26"/>
          <w:lang w:val="es-ES"/>
        </w:rPr>
        <w:t xml:space="preserve"> (1999) menciona que existe un subnivel en el que se encuentran los métodos que son de amplio empleo en distintas disciplinas pero que deben ser punto de reflexión acerca de su aplicabilidad en determinados contextos como la experimentación, la observación sistemática y los procedimientos de registro y procesamiento estadístico.</w:t>
      </w:r>
    </w:p>
    <w:p w:rsidR="001E079A" w:rsidRDefault="001E079A" w:rsidP="00CB46DF">
      <w:pPr>
        <w:rPr>
          <w:rFonts w:eastAsiaTheme="majorEastAsia" w:cstheme="majorBidi"/>
          <w:bCs/>
          <w:szCs w:val="26"/>
        </w:rPr>
      </w:pPr>
    </w:p>
    <w:p w:rsidR="00CB46DF" w:rsidRPr="001E079A" w:rsidRDefault="00CB46DF" w:rsidP="00CB46DF">
      <w:pPr>
        <w:rPr>
          <w:rFonts w:eastAsiaTheme="majorEastAsia" w:cstheme="majorBidi"/>
          <w:bCs/>
          <w:szCs w:val="26"/>
          <w:lang w:val="es-ES"/>
        </w:rPr>
      </w:pPr>
      <w:r w:rsidRPr="00CB46DF">
        <w:rPr>
          <w:rFonts w:eastAsiaTheme="majorEastAsia" w:cstheme="majorBidi"/>
          <w:bCs/>
          <w:szCs w:val="26"/>
        </w:rPr>
        <w:t>Por último, la metodología específica, s</w:t>
      </w:r>
      <w:r w:rsidRPr="00CB46DF">
        <w:rPr>
          <w:rFonts w:eastAsiaTheme="majorEastAsia" w:cstheme="majorBidi"/>
          <w:bCs/>
          <w:szCs w:val="26"/>
          <w:lang w:val="es-ES"/>
        </w:rPr>
        <w:t>e aboca detalladamente a los métodos aplicables a cada ciencia o disciplina que contienen un alto grado de especificidad, por ejemplo metodología de las ciencias empíricas o metodología de las ciencias formales, las disciplinas literarias, de ciencias empresariales o de la organización. García Avilés (1997) habla incluso de metodología Ciencias Físicas y Químicas, la metodología de la Biología y Ciencias de la vida, la metodología de la Economía, la Historia y la Política, etc. Es en este nivel en donde cabe llamársele: el estudio de las técnicas (</w:t>
      </w:r>
      <w:proofErr w:type="spellStart"/>
      <w:r w:rsidRPr="00CB46DF">
        <w:rPr>
          <w:rFonts w:eastAsiaTheme="majorEastAsia" w:cstheme="majorBidi"/>
          <w:bCs/>
          <w:szCs w:val="26"/>
          <w:lang w:val="es-ES"/>
        </w:rPr>
        <w:t>Gianella</w:t>
      </w:r>
      <w:proofErr w:type="spellEnd"/>
      <w:r w:rsidRPr="00CB46DF">
        <w:rPr>
          <w:rFonts w:eastAsiaTheme="majorEastAsia" w:cstheme="majorBidi"/>
          <w:bCs/>
          <w:szCs w:val="26"/>
          <w:lang w:val="es-ES"/>
        </w:rPr>
        <w:t xml:space="preserve">, 1999; Rodríguez de Rivera, 1999). </w:t>
      </w:r>
      <w:proofErr w:type="spellStart"/>
      <w:r w:rsidRPr="00CB46DF">
        <w:rPr>
          <w:rFonts w:eastAsiaTheme="majorEastAsia" w:cstheme="majorBidi"/>
          <w:bCs/>
          <w:szCs w:val="26"/>
        </w:rPr>
        <w:t>Grawitz</w:t>
      </w:r>
      <w:proofErr w:type="spellEnd"/>
      <w:r w:rsidRPr="00CB46DF">
        <w:rPr>
          <w:rFonts w:eastAsiaTheme="majorEastAsia" w:cstheme="majorBidi"/>
          <w:bCs/>
          <w:szCs w:val="26"/>
        </w:rPr>
        <w:t xml:space="preserve"> (1984) menciona que </w:t>
      </w:r>
      <w:r w:rsidR="00B07011">
        <w:rPr>
          <w:rFonts w:eastAsiaTheme="majorEastAsia" w:cstheme="majorBidi"/>
          <w:bCs/>
          <w:szCs w:val="26"/>
        </w:rPr>
        <w:t xml:space="preserve">las técnicas </w:t>
      </w:r>
      <w:r w:rsidRPr="00CB46DF">
        <w:rPr>
          <w:rFonts w:eastAsiaTheme="majorEastAsia" w:cstheme="majorBidi"/>
          <w:bCs/>
          <w:szCs w:val="26"/>
        </w:rPr>
        <w:t xml:space="preserve">son “procedimientos operativos rigurosos, bien definidos, </w:t>
      </w:r>
      <w:proofErr w:type="spellStart"/>
      <w:r w:rsidRPr="00CB46DF">
        <w:rPr>
          <w:rFonts w:eastAsiaTheme="majorEastAsia" w:cstheme="majorBidi"/>
          <w:bCs/>
          <w:szCs w:val="26"/>
        </w:rPr>
        <w:t>trasmitibles</w:t>
      </w:r>
      <w:proofErr w:type="spellEnd"/>
      <w:r w:rsidRPr="00CB46DF">
        <w:rPr>
          <w:rFonts w:eastAsiaTheme="majorEastAsia" w:cstheme="majorBidi"/>
          <w:bCs/>
          <w:szCs w:val="26"/>
        </w:rPr>
        <w:t>, susceptibles de ser aplicados de nuevo en las mismas condiciones” y que están adaptados a un problema o fenómeno específico. Las define como “etapas operacionales limitadas, unidas a unos elementos prácticos, concretos, adaptados a un fin determinado” (p. 291) pone como ejemplos la técnica de la entrevista y la de escalas de actitud.</w:t>
      </w:r>
    </w:p>
    <w:p w:rsidR="001E079A" w:rsidRDefault="001E079A" w:rsidP="00CB46DF">
      <w:pPr>
        <w:rPr>
          <w:rFonts w:eastAsiaTheme="majorEastAsia" w:cstheme="majorBidi"/>
          <w:bCs/>
          <w:szCs w:val="26"/>
          <w:lang w:val="es-ES"/>
        </w:rPr>
      </w:pPr>
    </w:p>
    <w:p w:rsidR="001E079A" w:rsidRPr="001E079A" w:rsidRDefault="001E079A" w:rsidP="001E079A">
      <w:pPr>
        <w:rPr>
          <w:rFonts w:eastAsiaTheme="majorEastAsia" w:cstheme="majorBidi"/>
          <w:bCs/>
          <w:szCs w:val="26"/>
          <w:lang w:val="es-ES"/>
        </w:rPr>
      </w:pPr>
      <w:r>
        <w:rPr>
          <w:rFonts w:eastAsiaTheme="majorEastAsia" w:cstheme="majorBidi"/>
          <w:bCs/>
          <w:szCs w:val="26"/>
          <w:lang w:val="es-ES"/>
        </w:rPr>
        <w:t>Históricamente, e</w:t>
      </w:r>
      <w:r w:rsidRPr="001E079A">
        <w:rPr>
          <w:rFonts w:eastAsiaTheme="majorEastAsia" w:cstheme="majorBidi"/>
          <w:bCs/>
          <w:szCs w:val="26"/>
          <w:lang w:val="es-ES"/>
        </w:rPr>
        <w:t xml:space="preserve">l término metodología fue incluido en los textos de lógica durante el siglo XVIII, para presentar un apartado, normalmente al final, en el que se presentaba una reflexión acerca de la parte práctica o de la actividad racional realizada, es decir, hasta finales del primer cuarto del siglo XIX se calificaba a la metodología como una doctrina o teoría del conocimiento, entendida como el estudio de los procesos en la adquisición, la elaboración y la transmisión del </w:t>
      </w:r>
      <w:r w:rsidRPr="001E079A">
        <w:rPr>
          <w:rFonts w:eastAsiaTheme="majorEastAsia" w:cstheme="majorBidi"/>
          <w:bCs/>
          <w:szCs w:val="26"/>
          <w:lang w:val="es-ES"/>
        </w:rPr>
        <w:lastRenderedPageBreak/>
        <w:t>conocimiento</w:t>
      </w:r>
      <w:sdt>
        <w:sdtPr>
          <w:rPr>
            <w:rFonts w:eastAsiaTheme="majorEastAsia" w:cstheme="majorBidi"/>
            <w:bCs/>
            <w:szCs w:val="26"/>
            <w:lang w:val="es-ES"/>
          </w:rPr>
          <w:id w:val="5188907"/>
          <w:citation/>
        </w:sdtPr>
        <w:sdtEndPr/>
        <w:sdtContent>
          <w:r w:rsidR="0072146B" w:rsidRPr="001E079A">
            <w:rPr>
              <w:rFonts w:eastAsiaTheme="majorEastAsia" w:cstheme="majorBidi"/>
              <w:bCs/>
              <w:szCs w:val="26"/>
              <w:lang w:val="es-ES"/>
            </w:rPr>
            <w:fldChar w:fldCharType="begin"/>
          </w:r>
          <w:r w:rsidRPr="001E079A">
            <w:rPr>
              <w:rFonts w:eastAsiaTheme="majorEastAsia" w:cstheme="majorBidi"/>
              <w:bCs/>
              <w:szCs w:val="26"/>
            </w:rPr>
            <w:instrText xml:space="preserve"> CITATION Rod99 \l 2058 </w:instrText>
          </w:r>
          <w:r w:rsidR="0072146B" w:rsidRPr="001E079A">
            <w:rPr>
              <w:rFonts w:eastAsiaTheme="majorEastAsia" w:cstheme="majorBidi"/>
              <w:bCs/>
              <w:szCs w:val="26"/>
              <w:lang w:val="es-ES"/>
            </w:rPr>
            <w:fldChar w:fldCharType="separate"/>
          </w:r>
          <w:r w:rsidRPr="001E079A">
            <w:rPr>
              <w:rFonts w:eastAsiaTheme="majorEastAsia" w:cstheme="majorBidi"/>
              <w:bCs/>
              <w:szCs w:val="26"/>
            </w:rPr>
            <w:t xml:space="preserve"> (Rodríguez de Rivera, 1999)</w:t>
          </w:r>
          <w:r w:rsidR="0072146B" w:rsidRPr="001E079A">
            <w:rPr>
              <w:rFonts w:eastAsiaTheme="majorEastAsia" w:cstheme="majorBidi"/>
              <w:bCs/>
              <w:szCs w:val="26"/>
              <w:lang w:val="es-ES"/>
            </w:rPr>
            <w:fldChar w:fldCharType="end"/>
          </w:r>
        </w:sdtContent>
      </w:sdt>
      <w:r w:rsidRPr="001E079A">
        <w:rPr>
          <w:rFonts w:eastAsiaTheme="majorEastAsia" w:cstheme="majorBidi"/>
          <w:bCs/>
          <w:szCs w:val="26"/>
          <w:lang w:val="es-ES"/>
        </w:rPr>
        <w:t>.</w:t>
      </w:r>
      <w:r>
        <w:rPr>
          <w:rFonts w:eastAsiaTheme="majorEastAsia" w:cstheme="majorBidi"/>
          <w:bCs/>
          <w:szCs w:val="26"/>
          <w:lang w:val="es-ES"/>
        </w:rPr>
        <w:t xml:space="preserve"> Las ideas presentadas previamente sugieren una concepción similar de la metodología.</w:t>
      </w:r>
      <w:r w:rsidR="003769DB">
        <w:rPr>
          <w:rFonts w:eastAsiaTheme="majorEastAsia" w:cstheme="majorBidi"/>
          <w:bCs/>
          <w:szCs w:val="26"/>
          <w:lang w:val="es-ES"/>
        </w:rPr>
        <w:t xml:space="preserve"> </w:t>
      </w:r>
      <w:r w:rsidR="003769DB" w:rsidRPr="003769DB">
        <w:rPr>
          <w:rFonts w:eastAsiaTheme="majorEastAsia" w:cstheme="majorBidi"/>
          <w:bCs/>
          <w:szCs w:val="26"/>
        </w:rPr>
        <w:t xml:space="preserve">Puede decirse que la metodología amplió su objeto de estudio, el cual ya no es solo el método científico experimental (antiguo Método Científico), sino son los métodos de investigación, y esto sucede debido a las discusiones que han surgido sobre “El” método científico ya que ahora no hay quien lo vincule con una serie de pasos o etapas que al aplicarse aseguran un resultado verdadero o real; sino que, empezaron a aceptarse la presencia de diferentes métodos de adquisición del conocimiento durante la investigación. </w:t>
      </w:r>
      <w:r w:rsidR="003769DB" w:rsidRPr="003769DB">
        <w:rPr>
          <w:rFonts w:eastAsiaTheme="majorEastAsia" w:cstheme="majorBidi"/>
          <w:bCs/>
          <w:szCs w:val="26"/>
          <w:lang w:val="es-ES"/>
        </w:rPr>
        <w:t>La metodología entendida así, se encarga del estudio del proceso de investigación, Gutiérrez Pantoja (1984) indica que tiene por objeto permitirle al investigador aproximarse de la manera más pertinente al objeto de investigación, conformándose en una guía de actitud del investigador. Lo anterior convierte a la metodología en una disciplina instrumental de la ciencia.</w:t>
      </w:r>
    </w:p>
    <w:p w:rsidR="001E079A" w:rsidRDefault="001E079A" w:rsidP="00CB46DF">
      <w:pPr>
        <w:rPr>
          <w:rFonts w:eastAsiaTheme="majorEastAsia" w:cstheme="majorBidi"/>
          <w:bCs/>
          <w:szCs w:val="26"/>
          <w:lang w:val="es-ES"/>
        </w:rPr>
      </w:pPr>
    </w:p>
    <w:p w:rsidR="008F47DE" w:rsidRDefault="008F47DE" w:rsidP="00CB46DF">
      <w:pPr>
        <w:rPr>
          <w:rFonts w:eastAsiaTheme="majorEastAsia" w:cstheme="majorBidi"/>
          <w:bCs/>
          <w:szCs w:val="26"/>
          <w:lang w:val="es-ES"/>
        </w:rPr>
      </w:pPr>
    </w:p>
    <w:p w:rsidR="008F47DE" w:rsidRDefault="008F47DE" w:rsidP="003E1A0D">
      <w:pPr>
        <w:pStyle w:val="Ttulo2"/>
        <w:rPr>
          <w:rFonts w:eastAsia="Calibri"/>
          <w:lang w:val="es-ES"/>
        </w:rPr>
      </w:pPr>
      <w:bookmarkStart w:id="14" w:name="_Toc308691482"/>
      <w:r>
        <w:rPr>
          <w:rFonts w:eastAsia="Calibri"/>
          <w:lang w:val="es-ES"/>
        </w:rPr>
        <w:t>Metodología de la ciencia</w:t>
      </w:r>
      <w:bookmarkEnd w:id="14"/>
    </w:p>
    <w:p w:rsidR="008F47DE" w:rsidRDefault="008F47DE" w:rsidP="00CB46DF">
      <w:pPr>
        <w:rPr>
          <w:rFonts w:eastAsiaTheme="majorEastAsia" w:cstheme="majorBidi"/>
          <w:bCs/>
          <w:szCs w:val="26"/>
          <w:lang w:val="es-ES"/>
        </w:rPr>
      </w:pPr>
    </w:p>
    <w:p w:rsidR="00CB46DF" w:rsidRPr="00CB46DF" w:rsidRDefault="00CB46DF" w:rsidP="00CB46DF">
      <w:pPr>
        <w:rPr>
          <w:rFonts w:eastAsiaTheme="majorEastAsia" w:cstheme="majorBidi"/>
          <w:bCs/>
          <w:szCs w:val="26"/>
          <w:lang w:val="es-ES"/>
        </w:rPr>
      </w:pPr>
      <w:r w:rsidRPr="00CB46DF">
        <w:rPr>
          <w:rFonts w:eastAsiaTheme="majorEastAsia" w:cstheme="majorBidi"/>
          <w:bCs/>
          <w:szCs w:val="26"/>
          <w:lang w:val="es-ES"/>
        </w:rPr>
        <w:t>Bunge (en De Gortari, 1980) indicaba que: “La metodología de la disciplina X es, pues, el estudio de los métodos de X. Pero la metodología de X no es una disciplina separada de X, sino que es parte de X.” (p. 44)</w:t>
      </w:r>
      <w:r w:rsidR="00FF4E5C">
        <w:rPr>
          <w:rFonts w:eastAsiaTheme="majorEastAsia" w:cstheme="majorBidi"/>
          <w:bCs/>
          <w:szCs w:val="26"/>
          <w:lang w:val="es-ES"/>
        </w:rPr>
        <w:t xml:space="preserve"> y este es uno de los primeros argumentos en donde puede notarse la idea de vincular a la metodología de la ciencia desde una postura disciplinaria o teórica, aunque Bunge, al igual que varios autores presenta una doble postura al ubicar a la metodología como </w:t>
      </w:r>
      <w:r w:rsidRPr="00CB46DF">
        <w:rPr>
          <w:rFonts w:eastAsiaTheme="majorEastAsia" w:cstheme="majorBidi"/>
          <w:bCs/>
          <w:szCs w:val="26"/>
          <w:lang w:val="es-ES"/>
        </w:rPr>
        <w:t xml:space="preserve">una rama de la epistemología (junto con </w:t>
      </w:r>
      <w:r w:rsidRPr="00CB46DF">
        <w:rPr>
          <w:rFonts w:eastAsiaTheme="majorEastAsia" w:cstheme="majorBidi"/>
          <w:bCs/>
          <w:iCs/>
          <w:szCs w:val="26"/>
        </w:rPr>
        <w:t>Lógica de la ciencia</w:t>
      </w:r>
      <w:r w:rsidRPr="00CB46DF">
        <w:rPr>
          <w:rFonts w:eastAsiaTheme="majorEastAsia" w:cstheme="majorBidi"/>
          <w:bCs/>
          <w:szCs w:val="26"/>
        </w:rPr>
        <w:t xml:space="preserve">, </w:t>
      </w:r>
      <w:r w:rsidRPr="00CB46DF">
        <w:rPr>
          <w:rFonts w:eastAsiaTheme="majorEastAsia" w:cstheme="majorBidi"/>
          <w:bCs/>
          <w:iCs/>
          <w:szCs w:val="26"/>
        </w:rPr>
        <w:t>Semántica de la ciencia, la</w:t>
      </w:r>
      <w:r w:rsidRPr="00CB46DF">
        <w:rPr>
          <w:rFonts w:eastAsiaTheme="majorEastAsia" w:cstheme="majorBidi"/>
          <w:bCs/>
          <w:szCs w:val="26"/>
        </w:rPr>
        <w:t xml:space="preserve"> </w:t>
      </w:r>
      <w:r w:rsidRPr="00CB46DF">
        <w:rPr>
          <w:rFonts w:eastAsiaTheme="majorEastAsia" w:cstheme="majorBidi"/>
          <w:bCs/>
          <w:iCs/>
          <w:szCs w:val="26"/>
        </w:rPr>
        <w:t>Teoría del conocimiento científico, la</w:t>
      </w:r>
      <w:r w:rsidRPr="00CB46DF">
        <w:rPr>
          <w:rFonts w:eastAsiaTheme="majorEastAsia" w:cstheme="majorBidi"/>
          <w:bCs/>
          <w:szCs w:val="26"/>
        </w:rPr>
        <w:t xml:space="preserve"> </w:t>
      </w:r>
      <w:r w:rsidRPr="00CB46DF">
        <w:rPr>
          <w:rFonts w:eastAsiaTheme="majorEastAsia" w:cstheme="majorBidi"/>
          <w:bCs/>
          <w:iCs/>
          <w:szCs w:val="26"/>
        </w:rPr>
        <w:t>Ontología de la ciencia, la</w:t>
      </w:r>
      <w:r w:rsidRPr="00CB46DF">
        <w:rPr>
          <w:rFonts w:eastAsiaTheme="majorEastAsia" w:cstheme="majorBidi"/>
          <w:bCs/>
          <w:szCs w:val="26"/>
        </w:rPr>
        <w:t xml:space="preserve"> </w:t>
      </w:r>
      <w:r w:rsidRPr="00CB46DF">
        <w:rPr>
          <w:rFonts w:eastAsiaTheme="majorEastAsia" w:cstheme="majorBidi"/>
          <w:bCs/>
          <w:iCs/>
          <w:szCs w:val="26"/>
        </w:rPr>
        <w:t>Axiología de la ciencia, la</w:t>
      </w:r>
      <w:r w:rsidRPr="00CB46DF">
        <w:rPr>
          <w:rFonts w:eastAsiaTheme="majorEastAsia" w:cstheme="majorBidi"/>
          <w:bCs/>
          <w:szCs w:val="26"/>
        </w:rPr>
        <w:t xml:space="preserve"> </w:t>
      </w:r>
      <w:r w:rsidRPr="00CB46DF">
        <w:rPr>
          <w:rFonts w:eastAsiaTheme="majorEastAsia" w:cstheme="majorBidi"/>
          <w:bCs/>
          <w:iCs/>
          <w:szCs w:val="26"/>
        </w:rPr>
        <w:t>Ética de la ciencia</w:t>
      </w:r>
      <w:r w:rsidRPr="00CB46DF">
        <w:rPr>
          <w:rFonts w:eastAsiaTheme="majorEastAsia" w:cstheme="majorBidi"/>
          <w:bCs/>
          <w:szCs w:val="26"/>
        </w:rPr>
        <w:t xml:space="preserve">, </w:t>
      </w:r>
      <w:r w:rsidRPr="00CB46DF">
        <w:rPr>
          <w:rFonts w:eastAsiaTheme="majorEastAsia" w:cstheme="majorBidi"/>
          <w:bCs/>
          <w:iCs/>
          <w:szCs w:val="26"/>
        </w:rPr>
        <w:t xml:space="preserve">Estética de la ciencia) </w:t>
      </w:r>
      <w:r w:rsidR="00FF4E5C">
        <w:rPr>
          <w:rFonts w:eastAsiaTheme="majorEastAsia" w:cstheme="majorBidi"/>
          <w:bCs/>
          <w:iCs/>
          <w:szCs w:val="26"/>
        </w:rPr>
        <w:t xml:space="preserve">y </w:t>
      </w:r>
      <w:r w:rsidRPr="00CB46DF">
        <w:rPr>
          <w:rFonts w:eastAsiaTheme="majorEastAsia" w:cstheme="majorBidi"/>
          <w:bCs/>
          <w:iCs/>
          <w:szCs w:val="26"/>
        </w:rPr>
        <w:t>la define</w:t>
      </w:r>
      <w:r w:rsidR="00FF4E5C">
        <w:rPr>
          <w:rFonts w:eastAsiaTheme="majorEastAsia" w:cstheme="majorBidi"/>
          <w:bCs/>
          <w:iCs/>
          <w:szCs w:val="26"/>
        </w:rPr>
        <w:t xml:space="preserve"> como</w:t>
      </w:r>
      <w:r w:rsidRPr="00CB46DF">
        <w:rPr>
          <w:rFonts w:eastAsiaTheme="majorEastAsia" w:cstheme="majorBidi"/>
          <w:bCs/>
          <w:szCs w:val="26"/>
        </w:rPr>
        <w:t xml:space="preserve"> estudio general de la investigación científica así como de los métodos o técnicas particulares de las ciencias particulares.</w:t>
      </w:r>
      <w:r w:rsidR="00FF4E5C">
        <w:rPr>
          <w:rFonts w:eastAsiaTheme="majorEastAsia" w:cstheme="majorBidi"/>
          <w:bCs/>
          <w:szCs w:val="26"/>
        </w:rPr>
        <w:t xml:space="preserve"> Esta doble postura pareciera común en varios autores, quienes identifican a la metodología como la reflexión desde la teoría pero luego la ubican como el estudio de los métodos en los diferentes niveles explicados anteriormente.</w:t>
      </w:r>
    </w:p>
    <w:p w:rsidR="00A125B4" w:rsidRPr="00FF4E5C" w:rsidRDefault="00A125B4" w:rsidP="00E16642">
      <w:pPr>
        <w:rPr>
          <w:lang w:val="es-ES"/>
        </w:rPr>
      </w:pPr>
    </w:p>
    <w:p w:rsidR="00B97B91" w:rsidRDefault="00FF4E5C" w:rsidP="00E16642">
      <w:r>
        <w:t>Por lo que se propone que l</w:t>
      </w:r>
      <w:r w:rsidR="00B97B91">
        <w:t>os métodos de investigación se refieren a la</w:t>
      </w:r>
      <w:r w:rsidR="00B97B91">
        <w:rPr>
          <w:rFonts w:eastAsia="Calibri" w:cs="Times New Roman"/>
        </w:rPr>
        <w:t xml:space="preserve"> diversidad de métodos y técnicas que se aplican e</w:t>
      </w:r>
      <w:r w:rsidR="00B97B91">
        <w:t xml:space="preserve">n una investigación científica, pueden y deben estar relacionados con </w:t>
      </w:r>
      <w:r w:rsidR="00B97B91">
        <w:rPr>
          <w:rFonts w:eastAsia="Calibri" w:cs="Times New Roman"/>
        </w:rPr>
        <w:t>la teoría que</w:t>
      </w:r>
      <w:r w:rsidR="00B97B91">
        <w:t xml:space="preserve"> enmarca al trabajo realiza</w:t>
      </w:r>
      <w:r w:rsidR="00B97B91">
        <w:rPr>
          <w:rFonts w:eastAsia="Calibri" w:cs="Times New Roman"/>
        </w:rPr>
        <w:t xml:space="preserve">do. Por medio de la metodología, el investigador logra enlazar </w:t>
      </w:r>
      <w:r>
        <w:rPr>
          <w:rFonts w:eastAsia="Calibri" w:cs="Times New Roman"/>
        </w:rPr>
        <w:t xml:space="preserve">la postura teórica que subyace en su trabajo con </w:t>
      </w:r>
      <w:r w:rsidR="00B97B91">
        <w:rPr>
          <w:rFonts w:eastAsia="Calibri" w:cs="Times New Roman"/>
        </w:rPr>
        <w:t>los métodos de investigación.</w:t>
      </w:r>
      <w:r w:rsidR="0030118B">
        <w:rPr>
          <w:rFonts w:eastAsia="Calibri" w:cs="Times New Roman"/>
        </w:rPr>
        <w:t xml:space="preserve"> Es decir, l</w:t>
      </w:r>
      <w:r w:rsidR="00B97B91">
        <w:rPr>
          <w:rFonts w:eastAsia="Calibri" w:cs="Times New Roman"/>
        </w:rPr>
        <w:t>a metodología de la investigación es parte del pro</w:t>
      </w:r>
      <w:r w:rsidR="0030118B">
        <w:rPr>
          <w:rFonts w:eastAsia="Calibri" w:cs="Times New Roman"/>
        </w:rPr>
        <w:t>ceso concreto de investigación,</w:t>
      </w:r>
      <w:r w:rsidR="00B97B91">
        <w:rPr>
          <w:rFonts w:eastAsia="Calibri" w:cs="Times New Roman"/>
        </w:rPr>
        <w:t xml:space="preserve"> se fundamenta en la elección de teorías y leyes que guiarán la investigación</w:t>
      </w:r>
      <w:r w:rsidR="0030118B">
        <w:rPr>
          <w:rFonts w:eastAsia="Calibri" w:cs="Times New Roman"/>
        </w:rPr>
        <w:t xml:space="preserve">, además </w:t>
      </w:r>
      <w:r w:rsidR="00B97B91">
        <w:rPr>
          <w:rFonts w:eastAsia="Calibri" w:cs="Times New Roman"/>
        </w:rPr>
        <w:t>orienta en la resolución del problema</w:t>
      </w:r>
      <w:r w:rsidR="00C12EE7">
        <w:rPr>
          <w:rFonts w:eastAsia="Calibri" w:cs="Times New Roman"/>
        </w:rPr>
        <w:t>:</w:t>
      </w:r>
      <w:r w:rsidR="00B97B91">
        <w:rPr>
          <w:rFonts w:eastAsia="Calibri" w:cs="Times New Roman"/>
        </w:rPr>
        <w:t xml:space="preserve"> qué se desea saber, cómo hacerlo, con qué fines, motivos o necesidades.</w:t>
      </w:r>
    </w:p>
    <w:p w:rsidR="0030118B" w:rsidRDefault="0030118B" w:rsidP="00E16642"/>
    <w:p w:rsidR="00C12EE7" w:rsidRDefault="007131B0" w:rsidP="00E16642">
      <w:pPr>
        <w:rPr>
          <w:rFonts w:eastAsia="Calibri" w:cs="Times New Roman"/>
        </w:rPr>
      </w:pPr>
      <w:r>
        <w:t xml:space="preserve">Dentro de una investigación, </w:t>
      </w:r>
      <w:r w:rsidR="00C12EE7">
        <w:rPr>
          <w:rFonts w:eastAsia="Calibri" w:cs="Times New Roman"/>
        </w:rPr>
        <w:t xml:space="preserve">Pacheco </w:t>
      </w:r>
      <w:proofErr w:type="spellStart"/>
      <w:r w:rsidR="00C12EE7">
        <w:rPr>
          <w:rFonts w:eastAsia="Calibri" w:cs="Times New Roman"/>
        </w:rPr>
        <w:t>Espejel</w:t>
      </w:r>
      <w:proofErr w:type="spellEnd"/>
      <w:r w:rsidR="00C12EE7">
        <w:rPr>
          <w:rFonts w:eastAsia="Calibri" w:cs="Times New Roman"/>
        </w:rPr>
        <w:t xml:space="preserve"> y Cruz Estrada </w:t>
      </w:r>
      <w:sdt>
        <w:sdtPr>
          <w:id w:val="5188917"/>
          <w:citation/>
        </w:sdtPr>
        <w:sdtEndPr/>
        <w:sdtContent>
          <w:r w:rsidR="00B20C48">
            <w:fldChar w:fldCharType="begin"/>
          </w:r>
          <w:r w:rsidR="00B20C48">
            <w:instrText xml:space="preserve"> CITATION Pac06 \n  \t  \l 2058  </w:instrText>
          </w:r>
          <w:r w:rsidR="00B20C48">
            <w:fldChar w:fldCharType="separate"/>
          </w:r>
          <w:r w:rsidR="00C12EE7" w:rsidRPr="00C12EE7">
            <w:rPr>
              <w:noProof/>
            </w:rPr>
            <w:t>(2006)</w:t>
          </w:r>
          <w:r w:rsidR="00B20C48">
            <w:rPr>
              <w:noProof/>
            </w:rPr>
            <w:fldChar w:fldCharType="end"/>
          </w:r>
        </w:sdtContent>
      </w:sdt>
      <w:r w:rsidR="00B23CB4">
        <w:t>,</w:t>
      </w:r>
      <w:r w:rsidR="00C12EE7">
        <w:t xml:space="preserve"> </w:t>
      </w:r>
      <w:r>
        <w:t>sugieren que</w:t>
      </w:r>
      <w:r w:rsidR="00C12EE7">
        <w:rPr>
          <w:rFonts w:eastAsia="Calibri" w:cs="Times New Roman"/>
        </w:rPr>
        <w:t xml:space="preserve"> la metodología es el eslabón entre la teoría y la práctica y aunque advierten que n</w:t>
      </w:r>
      <w:r w:rsidR="00FF4E5C">
        <w:rPr>
          <w:rFonts w:eastAsia="Calibri" w:cs="Times New Roman"/>
        </w:rPr>
        <w:t>o se trata de una serie de paso</w:t>
      </w:r>
      <w:r w:rsidR="008F47DE">
        <w:rPr>
          <w:rFonts w:eastAsia="Calibri" w:cs="Times New Roman"/>
        </w:rPr>
        <w:t>s. Apuntan que es el “eslabón que permite la interacción crítica entre la teoría y la práctica dentro de todo proceso de investigación científica, que le sirve de guía general para proporcionarle coherencia y efectividad desde la estructuración de sus objetivos y la secuenciación de la actividades a realizar y conclusiones, y que se manifiesta secuencialmente como operaciones del pensamiento lógico, como procedimiento y como técnicas particulares de investigación” (p. 78).</w:t>
      </w:r>
      <w:r w:rsidR="00FF4E5C">
        <w:rPr>
          <w:rFonts w:eastAsia="Calibri" w:cs="Times New Roman"/>
        </w:rPr>
        <w:t xml:space="preserve"> Estos son otros de los autores que en un inicio ubican a la metodología como metodología de la ciencia pero luego como metodología de la investigación</w:t>
      </w:r>
      <w:r>
        <w:t>,</w:t>
      </w:r>
      <w:r w:rsidR="00C12EE7">
        <w:rPr>
          <w:rFonts w:eastAsia="Calibri" w:cs="Times New Roman"/>
        </w:rPr>
        <w:t xml:space="preserve"> </w:t>
      </w:r>
      <w:r w:rsidR="008F47DE">
        <w:rPr>
          <w:rFonts w:eastAsia="Calibri" w:cs="Times New Roman"/>
        </w:rPr>
        <w:t xml:space="preserve">porque a lo largo de su texto, </w:t>
      </w:r>
      <w:r w:rsidR="00C12EE7">
        <w:rPr>
          <w:rFonts w:eastAsia="Calibri" w:cs="Times New Roman"/>
        </w:rPr>
        <w:t xml:space="preserve">le dan un papel restringido de método, teniendo un papel lógico que implica operaciones mentales tales como raciocinio crítico, análisis-síntesis, generalización y particularización, abstracción y concreción, inducción y deducción. Incluso postulan el término </w:t>
      </w:r>
      <w:proofErr w:type="spellStart"/>
      <w:r w:rsidR="00C12EE7">
        <w:rPr>
          <w:rFonts w:eastAsia="Calibri" w:cs="Times New Roman"/>
        </w:rPr>
        <w:t>metodologización</w:t>
      </w:r>
      <w:proofErr w:type="spellEnd"/>
      <w:r w:rsidR="00C12EE7">
        <w:rPr>
          <w:rFonts w:eastAsia="Calibri" w:cs="Times New Roman"/>
        </w:rPr>
        <w:t xml:space="preserve"> al hecho de decidir el cómo proceder en una investigación, es decir, la descripción de lo que se va a llevar a cabo en ella</w:t>
      </w:r>
      <w:r w:rsidR="008F47DE">
        <w:rPr>
          <w:rFonts w:eastAsia="Calibri" w:cs="Times New Roman"/>
        </w:rPr>
        <w:t>.</w:t>
      </w:r>
    </w:p>
    <w:p w:rsidR="00A125B4" w:rsidRDefault="00A125B4" w:rsidP="00E16642">
      <w:pPr>
        <w:rPr>
          <w:rFonts w:eastAsia="Calibri" w:cs="Times New Roman"/>
        </w:rPr>
      </w:pPr>
    </w:p>
    <w:p w:rsidR="00AC5450" w:rsidRDefault="00F76DF8" w:rsidP="00F76DF8">
      <w:r>
        <w:t xml:space="preserve">También desde instituciones reconocidas a nivel internacional se observa esta situación. </w:t>
      </w:r>
      <w:r w:rsidRPr="00CB46DF">
        <w:t>En el manual de CLACSO se s</w:t>
      </w:r>
      <w:r w:rsidR="003A6775">
        <w:t xml:space="preserve">eñala </w:t>
      </w:r>
      <w:r w:rsidRPr="00CB46DF">
        <w:t>que la teoría tiene un papel mayor durante las primeras etapas del diseño de la investigación social [</w:t>
      </w:r>
      <w:r w:rsidR="003A6775">
        <w:t>e</w:t>
      </w:r>
      <w:r w:rsidRPr="00CB46DF">
        <w:t xml:space="preserve">sto es] todas </w:t>
      </w:r>
      <w:r w:rsidRPr="00CB46DF">
        <w:lastRenderedPageBreak/>
        <w:t>las decisiones metodológicas (de procedimientos) en la elaboración del proyecto o en la</w:t>
      </w:r>
      <w:r w:rsidR="003A6775">
        <w:t xml:space="preserve"> </w:t>
      </w:r>
      <w:r w:rsidRPr="00CB46DF">
        <w:t xml:space="preserve">de la investigación tienen implicaciones teóricas, y los resultados […] siempre son evaluados en función de su aporte a la comprensión [de la realidad] </w:t>
      </w:r>
      <w:r w:rsidR="003A6775" w:rsidRPr="00CB46DF">
        <w:t>(</w:t>
      </w:r>
      <w:proofErr w:type="spellStart"/>
      <w:r w:rsidR="003A6775" w:rsidRPr="00CB46DF">
        <w:t>Sautu</w:t>
      </w:r>
      <w:proofErr w:type="spellEnd"/>
      <w:r w:rsidR="003A6775">
        <w:t xml:space="preserve">, </w:t>
      </w:r>
      <w:proofErr w:type="spellStart"/>
      <w:r w:rsidR="003A6775">
        <w:t>Boniolo</w:t>
      </w:r>
      <w:proofErr w:type="spellEnd"/>
      <w:r w:rsidR="003A6775">
        <w:t xml:space="preserve">, Dalle &amp; </w:t>
      </w:r>
      <w:proofErr w:type="spellStart"/>
      <w:r w:rsidR="003A6775">
        <w:t>Elbert</w:t>
      </w:r>
      <w:proofErr w:type="spellEnd"/>
      <w:r w:rsidR="003A6775">
        <w:t xml:space="preserve">, 2005, </w:t>
      </w:r>
      <w:r w:rsidRPr="00CB46DF">
        <w:t xml:space="preserve">p. 23). </w:t>
      </w:r>
      <w:r w:rsidR="003A6775">
        <w:t>En esta tesis se retoma la idea general del manual de CLACSO, sobre el papel de la teoría en la determinación del proceso de la investigación y por ende de la contribución al avance en la construcción del conocimiento</w:t>
      </w:r>
      <w:r w:rsidR="00AC5450">
        <w:t xml:space="preserve">. </w:t>
      </w:r>
    </w:p>
    <w:p w:rsidR="00AC5450" w:rsidRPr="00CB46DF" w:rsidRDefault="00AC5450" w:rsidP="00F76DF8"/>
    <w:p w:rsidR="00F76DF8" w:rsidRDefault="00AC5450" w:rsidP="00F76DF8">
      <w:r>
        <w:t>Con respecto a la conceptualización de la metodología, en el mismo manual se indica que “</w:t>
      </w:r>
      <w:r w:rsidR="00F76DF8" w:rsidRPr="00CB46DF">
        <w:t>se apoya en los paradigmas, y su función en la investigación es discutir los fundamentos epistemológicos del conocimiento. Específicamente reflexiona acerca del papel de los valores, la idea de causalidad, el papel de la teoría y su vinculación con la evidencia empírica, el recorte de la realidad, los factores relacionados con la validez del estudio, el uso y el papel de la deducción y la inducción, cuestiones referidas a la verificación y falsificación, y los contenidos y alcances de la explicación e interpretación.” (</w:t>
      </w:r>
      <w:proofErr w:type="spellStart"/>
      <w:r w:rsidR="00F76DF8" w:rsidRPr="00CB46DF">
        <w:t>Sautu</w:t>
      </w:r>
      <w:proofErr w:type="spellEnd"/>
      <w:r w:rsidR="00F76DF8" w:rsidRPr="00CB46DF">
        <w:t xml:space="preserve">, </w:t>
      </w:r>
      <w:proofErr w:type="spellStart"/>
      <w:r w:rsidR="00F76DF8" w:rsidRPr="00CB46DF">
        <w:t>Boniolo</w:t>
      </w:r>
      <w:proofErr w:type="spellEnd"/>
      <w:r w:rsidR="00F76DF8" w:rsidRPr="00CB46DF">
        <w:t xml:space="preserve">, Dalle &amp; </w:t>
      </w:r>
      <w:proofErr w:type="spellStart"/>
      <w:r w:rsidR="00F76DF8" w:rsidRPr="00CB46DF">
        <w:t>Elbert</w:t>
      </w:r>
      <w:proofErr w:type="spellEnd"/>
      <w:r w:rsidR="00F76DF8" w:rsidRPr="00CB46DF">
        <w:t>, 2005, pp. 37, 38)</w:t>
      </w:r>
      <w:r>
        <w:t>. Esta idea se comparte, pero como se señalaba en párrafos anteriores,  después se regresa a una concepción de metodología a partir de la ciencia unificada porque la consideran como “</w:t>
      </w:r>
      <w:r w:rsidRPr="0012573F">
        <w:t>conformada por procedi</w:t>
      </w:r>
      <w:r w:rsidRPr="0012573F">
        <w:softHyphen/>
        <w:t>mientos o métodos para la construcción</w:t>
      </w:r>
      <w:r>
        <w:t xml:space="preserve"> de la evidencia em</w:t>
      </w:r>
      <w:r>
        <w:softHyphen/>
        <w:t xml:space="preserve">pírica </w:t>
      </w:r>
      <w:r w:rsidRPr="0012573F">
        <w:t>vinculación con la evidencia empírica, el recorte de la realidad, los factores relacionados con la validez del estudio, el uso y el papel de la deducción y la inducción, cuestiones referidas a la verificación y falsificación, y los contenidos y alcances de la explicación e interpretación</w:t>
      </w:r>
      <w:r>
        <w:t xml:space="preserve">” </w:t>
      </w:r>
      <w:r w:rsidRPr="0012573F">
        <w:t>(p. 37)</w:t>
      </w:r>
      <w:r>
        <w:t>; y además argumentan que hay dos tipos la metodología cuantitativa y la metodología cualitativa.</w:t>
      </w:r>
    </w:p>
    <w:p w:rsidR="00A871E6" w:rsidRDefault="00A871E6" w:rsidP="00E16642">
      <w:pPr>
        <w:rPr>
          <w:rFonts w:eastAsia="Calibri" w:cs="Times New Roman"/>
        </w:rPr>
      </w:pPr>
    </w:p>
    <w:p w:rsidR="00CB46DF" w:rsidRPr="00CB46DF" w:rsidRDefault="00CB46DF" w:rsidP="00CB46DF">
      <w:pPr>
        <w:rPr>
          <w:rFonts w:eastAsia="Calibri" w:cs="Times New Roman"/>
        </w:rPr>
      </w:pPr>
      <w:proofErr w:type="spellStart"/>
      <w:r w:rsidRPr="00CB46DF">
        <w:rPr>
          <w:rFonts w:eastAsia="Calibri" w:cs="Times New Roman"/>
          <w:lang w:val="es-ES"/>
        </w:rPr>
        <w:t>Machlup</w:t>
      </w:r>
      <w:proofErr w:type="spellEnd"/>
      <w:r w:rsidRPr="00CB46DF">
        <w:rPr>
          <w:rFonts w:eastAsia="Calibri" w:cs="Times New Roman"/>
        </w:rPr>
        <w:t xml:space="preserve"> (1978)</w:t>
      </w:r>
      <w:r w:rsidRPr="00CB46DF">
        <w:rPr>
          <w:rFonts w:eastAsia="Calibri" w:cs="Times New Roman"/>
          <w:lang w:val="es-ES"/>
        </w:rPr>
        <w:t xml:space="preserve"> escribía que la metodología, ni es el estudio de los mejores métodos, ni el estudio de los métodos usados sino un estudio de las razones que están detrás de los principios de varios tipos de proposiciones que son aceptadas o rechazadas como parte de un conocimiento general o especializado en cualquier disciplina.</w:t>
      </w:r>
    </w:p>
    <w:p w:rsidR="008F47DE" w:rsidRDefault="008F47DE" w:rsidP="00CB46DF">
      <w:pPr>
        <w:rPr>
          <w:rFonts w:eastAsia="Calibri" w:cs="Times New Roman"/>
        </w:rPr>
      </w:pPr>
    </w:p>
    <w:p w:rsidR="00CB46DF" w:rsidRPr="00CB46DF" w:rsidRDefault="00CB46DF" w:rsidP="00CB46DF">
      <w:pPr>
        <w:rPr>
          <w:rFonts w:eastAsia="Calibri" w:cs="Times New Roman"/>
        </w:rPr>
      </w:pPr>
      <w:proofErr w:type="spellStart"/>
      <w:r w:rsidRPr="00CB46DF">
        <w:rPr>
          <w:rFonts w:eastAsia="Calibri" w:cs="Times New Roman"/>
        </w:rPr>
        <w:t>Ander-Egg</w:t>
      </w:r>
      <w:proofErr w:type="spellEnd"/>
      <w:r w:rsidRPr="00CB46DF">
        <w:rPr>
          <w:rFonts w:eastAsia="Calibri" w:cs="Times New Roman"/>
        </w:rPr>
        <w:t xml:space="preserve"> (1995) explica cinco de las implicaciones que subyacen a la metodología. La primera es de carácter ontológico que se refieren a la naturaleza del objeto o tipo de realidad que se investiga, y dice que estas implicaciones condicionan todo el trabajo. La segunda implicación es de carácter gnoseológico o también llamada la teoría del conocimiento, la cual hace referencia a las posibilidades del conocimiento, su modo de producción y sus formas de validación y en términos generales establece o determina las relaciones entre la realidad y el pensamiento o, de manera más precisa, entre sujeto y objeto. La tercera es la implicación de carácter lógico que habla de los métodos propiamente dichos que se siguen en el conocimiento científico. La cuarta es la implicación epistemológica por la que entiende que es el estudio de la estructura formal de las ciencias en términos de los fundamentos de la metodología y la verdad científica. La última y quinta implicación, es la pertenencia a un paradigma o matriz disciplinaria, es decir, las cuestiones fundamento de la metodología en términos de conjuntos de postulados y supuestos, métodos, campos de trabajo o esferas específicas, naturaleza, límites, problemas, etc., que comparten los investigadores de una determinada comunidad científica.</w:t>
      </w:r>
    </w:p>
    <w:p w:rsidR="008F47DE" w:rsidRDefault="008F47DE" w:rsidP="00CB46DF">
      <w:pPr>
        <w:rPr>
          <w:rFonts w:eastAsia="Calibri" w:cs="Times New Roman"/>
        </w:rPr>
      </w:pPr>
    </w:p>
    <w:p w:rsidR="00CB46DF" w:rsidRPr="00CB46DF" w:rsidRDefault="00CB46DF" w:rsidP="00CB46DF">
      <w:pPr>
        <w:rPr>
          <w:rFonts w:eastAsia="Calibri" w:cs="Times New Roman"/>
        </w:rPr>
      </w:pPr>
      <w:proofErr w:type="spellStart"/>
      <w:r w:rsidRPr="00CB46DF">
        <w:rPr>
          <w:rFonts w:eastAsia="Calibri" w:cs="Times New Roman"/>
        </w:rPr>
        <w:t>Denman</w:t>
      </w:r>
      <w:proofErr w:type="spellEnd"/>
      <w:r w:rsidRPr="00CB46DF">
        <w:rPr>
          <w:rFonts w:eastAsia="Calibri" w:cs="Times New Roman"/>
        </w:rPr>
        <w:t xml:space="preserve"> y Haro (2000) también señalan que la metodología tiene aspectos paradigmáticos, epistemológicos, teóricos, metodológicos (en términos teórico-instrumentales), éticos e ideológicos.</w:t>
      </w:r>
      <w:r w:rsidR="008F47DE">
        <w:rPr>
          <w:rFonts w:eastAsia="Calibri" w:cs="Times New Roman"/>
        </w:rPr>
        <w:t xml:space="preserve"> </w:t>
      </w:r>
      <w:r w:rsidRPr="00CB46DF">
        <w:rPr>
          <w:rFonts w:eastAsia="Calibri" w:cs="Times New Roman"/>
          <w:lang w:val="es-ES"/>
        </w:rPr>
        <w:t>Bustamante Guerrero (2004) indica que es una reflexión filosófica desde la experiencia</w:t>
      </w:r>
      <w:r w:rsidR="008F47DE">
        <w:rPr>
          <w:rFonts w:eastAsia="Calibri" w:cs="Times New Roman"/>
          <w:lang w:val="es-ES"/>
        </w:rPr>
        <w:t xml:space="preserve">. </w:t>
      </w:r>
    </w:p>
    <w:p w:rsidR="00CB46DF" w:rsidRPr="00CB46DF" w:rsidRDefault="00CB46DF" w:rsidP="00CB46DF">
      <w:pPr>
        <w:rPr>
          <w:rFonts w:eastAsia="Calibri" w:cs="Times New Roman"/>
        </w:rPr>
      </w:pPr>
    </w:p>
    <w:p w:rsidR="008F47DE" w:rsidRDefault="00CB46DF" w:rsidP="00CB46DF">
      <w:pPr>
        <w:rPr>
          <w:rFonts w:eastAsia="Calibri" w:cs="Times New Roman"/>
        </w:rPr>
      </w:pPr>
      <w:r w:rsidRPr="00CB46DF">
        <w:rPr>
          <w:rFonts w:eastAsia="Calibri" w:cs="Times New Roman"/>
        </w:rPr>
        <w:t>“Los paradigmas</w:t>
      </w:r>
      <w:r w:rsidR="008F47DE">
        <w:rPr>
          <w:rFonts w:eastAsia="Calibri" w:cs="Times New Roman"/>
        </w:rPr>
        <w:t xml:space="preserve"> o posturas epistemológicas </w:t>
      </w:r>
      <w:r w:rsidRPr="00CB46DF">
        <w:rPr>
          <w:rFonts w:eastAsia="Calibri" w:cs="Times New Roman"/>
        </w:rPr>
        <w:t xml:space="preserve">se distinguen, por su ontología y su epistemología, por la noción que se tenga de verdad y sujeto”, </w:t>
      </w:r>
      <w:r w:rsidR="008663E2" w:rsidRPr="00CB46DF">
        <w:rPr>
          <w:rFonts w:eastAsia="Calibri" w:cs="Times New Roman"/>
        </w:rPr>
        <w:t xml:space="preserve">(Hernández </w:t>
      </w:r>
      <w:proofErr w:type="spellStart"/>
      <w:r w:rsidR="008663E2" w:rsidRPr="00CB46DF">
        <w:rPr>
          <w:rFonts w:eastAsia="Calibri" w:cs="Times New Roman"/>
        </w:rPr>
        <w:t>Berumen</w:t>
      </w:r>
      <w:proofErr w:type="spellEnd"/>
      <w:r w:rsidR="008663E2" w:rsidRPr="00CB46DF">
        <w:rPr>
          <w:rFonts w:eastAsia="Calibri" w:cs="Times New Roman"/>
        </w:rPr>
        <w:t xml:space="preserve"> &amp; Palomo Juárez, 2007</w:t>
      </w:r>
      <w:r w:rsidR="008663E2">
        <w:rPr>
          <w:rFonts w:eastAsia="Calibri" w:cs="Times New Roman"/>
        </w:rPr>
        <w:t>, p. 6</w:t>
      </w:r>
      <w:r w:rsidR="008663E2" w:rsidRPr="00CB46DF">
        <w:rPr>
          <w:rFonts w:eastAsia="Calibri" w:cs="Times New Roman"/>
        </w:rPr>
        <w:t>)</w:t>
      </w:r>
      <w:r w:rsidR="008663E2">
        <w:rPr>
          <w:rFonts w:eastAsia="Calibri" w:cs="Times New Roman"/>
        </w:rPr>
        <w:t xml:space="preserve">, entonces se tiene que </w:t>
      </w:r>
      <w:r w:rsidRPr="00CB46DF">
        <w:rPr>
          <w:rFonts w:eastAsia="Calibri" w:cs="Times New Roman"/>
        </w:rPr>
        <w:t>las técnicas son seleccionadas por la instancia ontológica y epistemológica</w:t>
      </w:r>
      <w:r w:rsidR="008663E2">
        <w:rPr>
          <w:rFonts w:eastAsia="Calibri" w:cs="Times New Roman"/>
        </w:rPr>
        <w:t xml:space="preserve"> (desde la teoría de la que se parte)</w:t>
      </w:r>
      <w:r w:rsidRPr="00CB46DF">
        <w:rPr>
          <w:rFonts w:eastAsia="Calibri" w:cs="Times New Roman"/>
        </w:rPr>
        <w:t xml:space="preserve"> y no al contrario.</w:t>
      </w:r>
      <w:r w:rsidR="008663E2" w:rsidRPr="008663E2">
        <w:rPr>
          <w:rFonts w:eastAsia="Calibri" w:cs="Times New Roman"/>
        </w:rPr>
        <w:t xml:space="preserve"> </w:t>
      </w:r>
      <w:r w:rsidR="008663E2">
        <w:rPr>
          <w:rFonts w:eastAsia="Calibri" w:cs="Times New Roman"/>
        </w:rPr>
        <w:t>Como los autores afirman, por lo tanto, l</w:t>
      </w:r>
      <w:r w:rsidRPr="00CB46DF">
        <w:rPr>
          <w:rFonts w:eastAsia="Calibri" w:cs="Times New Roman"/>
        </w:rPr>
        <w:t xml:space="preserve">a distinción </w:t>
      </w:r>
      <w:proofErr w:type="gramStart"/>
      <w:r w:rsidRPr="00CB46DF">
        <w:rPr>
          <w:rFonts w:eastAsia="Calibri" w:cs="Times New Roman"/>
        </w:rPr>
        <w:t>cualitativo</w:t>
      </w:r>
      <w:proofErr w:type="gramEnd"/>
      <w:r w:rsidRPr="00CB46DF">
        <w:rPr>
          <w:rFonts w:eastAsia="Calibri" w:cs="Times New Roman"/>
        </w:rPr>
        <w:t xml:space="preserve"> – </w:t>
      </w:r>
      <w:r w:rsidR="008663E2">
        <w:rPr>
          <w:rFonts w:eastAsia="Calibri" w:cs="Times New Roman"/>
        </w:rPr>
        <w:t>c</w:t>
      </w:r>
      <w:r w:rsidRPr="00CB46DF">
        <w:rPr>
          <w:rFonts w:eastAsia="Calibri" w:cs="Times New Roman"/>
        </w:rPr>
        <w:t xml:space="preserve">uantitativo es de poca utilidad para distinguir entre posturas epistemológicas, </w:t>
      </w:r>
      <w:r w:rsidR="008663E2">
        <w:rPr>
          <w:rFonts w:eastAsia="Calibri" w:cs="Times New Roman"/>
        </w:rPr>
        <w:t xml:space="preserve">y las </w:t>
      </w:r>
      <w:r w:rsidRPr="00CB46DF">
        <w:rPr>
          <w:rFonts w:eastAsia="Calibri" w:cs="Times New Roman"/>
        </w:rPr>
        <w:t xml:space="preserve">técnicas pueden ser utilizadas de forma intercambiable. </w:t>
      </w:r>
    </w:p>
    <w:p w:rsidR="008F47DE" w:rsidRPr="00CB46DF" w:rsidRDefault="008F47DE" w:rsidP="00CB46DF">
      <w:pPr>
        <w:rPr>
          <w:rFonts w:eastAsia="Calibri" w:cs="Times New Roman"/>
        </w:rPr>
      </w:pPr>
    </w:p>
    <w:p w:rsidR="00CB46DF" w:rsidRDefault="008663E2" w:rsidP="00CB46DF">
      <w:pPr>
        <w:rPr>
          <w:rFonts w:eastAsia="Calibri" w:cs="Times New Roman"/>
          <w:iCs/>
        </w:rPr>
      </w:pPr>
      <w:r>
        <w:rPr>
          <w:rFonts w:eastAsia="Calibri" w:cs="Times New Roman"/>
        </w:rPr>
        <w:t xml:space="preserve">De la misma manera, Rueda Delgado </w:t>
      </w:r>
      <w:r w:rsidRPr="00CB46DF">
        <w:rPr>
          <w:rFonts w:eastAsia="Calibri" w:cs="Times New Roman"/>
        </w:rPr>
        <w:t>(2007, p. 125)</w:t>
      </w:r>
      <w:r>
        <w:rPr>
          <w:rFonts w:eastAsia="Calibri" w:cs="Times New Roman"/>
        </w:rPr>
        <w:t>, afirma que</w:t>
      </w:r>
      <w:r w:rsidRPr="00CB46DF">
        <w:rPr>
          <w:rFonts w:eastAsia="Calibri" w:cs="Times New Roman"/>
        </w:rPr>
        <w:t xml:space="preserve"> </w:t>
      </w:r>
      <w:r w:rsidR="00CB46DF" w:rsidRPr="00CB46DF">
        <w:rPr>
          <w:rFonts w:eastAsia="Calibri" w:cs="Times New Roman"/>
        </w:rPr>
        <w:t>“los supuestos que haga el investigador con respecto a la naturaleza de la realidad del fenómeno (ontología) afectará la forma de alcanzar el conocimiento sobre el fenómeno (epistemología) y esto a su vez afecta el proceso mediante el cual se puede realizar la investigación (metodología)”</w:t>
      </w:r>
      <w:r>
        <w:rPr>
          <w:rFonts w:eastAsia="Calibri" w:cs="Times New Roman"/>
          <w:iCs/>
        </w:rPr>
        <w:t xml:space="preserve"> y es lo mismo que partir de la teoría para determinar procesos metódicos, es decir, la reflexión metodológica.</w:t>
      </w:r>
    </w:p>
    <w:p w:rsidR="00D95DAC" w:rsidRDefault="00D95DAC" w:rsidP="00CB46DF">
      <w:pPr>
        <w:rPr>
          <w:rFonts w:eastAsia="Calibri" w:cs="Times New Roman"/>
          <w:iCs/>
        </w:rPr>
      </w:pPr>
    </w:p>
    <w:p w:rsidR="00B23CB4" w:rsidRDefault="00B23CB4" w:rsidP="00E16642">
      <w:pPr>
        <w:rPr>
          <w:rFonts w:eastAsia="Calibri" w:cs="Times New Roman"/>
          <w:lang w:val="es-ES"/>
        </w:rPr>
      </w:pPr>
      <w:r>
        <w:rPr>
          <w:rFonts w:eastAsia="Calibri" w:cs="Times New Roman"/>
          <w:lang w:val="es-ES"/>
        </w:rPr>
        <w:t>La metodología de la ciencia se encuentra ubicada como una ram</w:t>
      </w:r>
      <w:r w:rsidR="00DD0B6E">
        <w:rPr>
          <w:rFonts w:eastAsia="Calibri" w:cs="Times New Roman"/>
          <w:lang w:val="es-ES"/>
        </w:rPr>
        <w:t>a de la filosofía de la ciencia. Tanto</w:t>
      </w:r>
      <w:r w:rsidRPr="007131B0">
        <w:rPr>
          <w:rFonts w:eastAsia="Calibri" w:cs="Times New Roman"/>
        </w:rPr>
        <w:t xml:space="preserve"> científicos como filósofos</w:t>
      </w:r>
      <w:r w:rsidR="00DD0B6E">
        <w:rPr>
          <w:rFonts w:eastAsia="Calibri" w:cs="Times New Roman"/>
        </w:rPr>
        <w:t xml:space="preserve"> e historiadores,</w:t>
      </w:r>
      <w:r w:rsidRPr="007131B0">
        <w:rPr>
          <w:rFonts w:eastAsia="Calibri" w:cs="Times New Roman"/>
        </w:rPr>
        <w:t xml:space="preserve"> han abordado la relación entre la metodología</w:t>
      </w:r>
      <w:r>
        <w:rPr>
          <w:rFonts w:eastAsia="Calibri" w:cs="Times New Roman"/>
        </w:rPr>
        <w:t xml:space="preserve">, </w:t>
      </w:r>
      <w:r w:rsidRPr="007131B0">
        <w:rPr>
          <w:rFonts w:eastAsia="Calibri" w:cs="Times New Roman"/>
        </w:rPr>
        <w:t>la epistemología y lógica</w:t>
      </w:r>
      <w:r>
        <w:rPr>
          <w:rFonts w:eastAsia="Calibri" w:cs="Times New Roman"/>
        </w:rPr>
        <w:t>;</w:t>
      </w:r>
      <w:r w:rsidRPr="007131B0">
        <w:rPr>
          <w:rFonts w:eastAsia="Calibri" w:cs="Times New Roman"/>
        </w:rPr>
        <w:t xml:space="preserve"> </w:t>
      </w:r>
      <w:proofErr w:type="spellStart"/>
      <w:r w:rsidRPr="007131B0">
        <w:rPr>
          <w:rFonts w:eastAsia="Calibri" w:cs="Times New Roman"/>
        </w:rPr>
        <w:t>Windelband</w:t>
      </w:r>
      <w:proofErr w:type="spellEnd"/>
      <w:r w:rsidRPr="007131B0">
        <w:rPr>
          <w:rFonts w:eastAsia="Calibri" w:cs="Times New Roman"/>
        </w:rPr>
        <w:t xml:space="preserve"> (</w:t>
      </w:r>
      <w:r>
        <w:rPr>
          <w:rFonts w:eastAsia="Calibri" w:cs="Times New Roman"/>
        </w:rPr>
        <w:t xml:space="preserve">en </w:t>
      </w:r>
      <w:r w:rsidRPr="00BF2518">
        <w:rPr>
          <w:rFonts w:eastAsia="Calibri" w:cs="Times New Roman"/>
          <w:noProof/>
        </w:rPr>
        <w:t>Machlup, 1978)</w:t>
      </w:r>
      <w:r w:rsidRPr="007131B0">
        <w:rPr>
          <w:rFonts w:eastAsia="Calibri" w:cs="Times New Roman"/>
        </w:rPr>
        <w:t xml:space="preserve"> </w:t>
      </w:r>
      <w:r>
        <w:rPr>
          <w:rFonts w:eastAsia="Calibri" w:cs="Times New Roman"/>
        </w:rPr>
        <w:t xml:space="preserve">explica esta relación y establece que la metodología es una </w:t>
      </w:r>
      <w:r w:rsidRPr="007131B0">
        <w:rPr>
          <w:rFonts w:eastAsia="Calibri" w:cs="Times New Roman"/>
        </w:rPr>
        <w:t xml:space="preserve">disciplina técnica o doctrina de la forma </w:t>
      </w:r>
      <w:r>
        <w:rPr>
          <w:rFonts w:eastAsia="Calibri" w:cs="Times New Roman"/>
        </w:rPr>
        <w:t>sistemática de los pensamientos.</w:t>
      </w:r>
    </w:p>
    <w:p w:rsidR="00B23CB4" w:rsidRDefault="00B23CB4" w:rsidP="00E16642">
      <w:pPr>
        <w:rPr>
          <w:rFonts w:eastAsia="Calibri" w:cs="Times New Roman"/>
          <w:lang w:val="es-ES"/>
        </w:rPr>
      </w:pPr>
    </w:p>
    <w:p w:rsidR="00DD0B6E" w:rsidRDefault="00DD0B6E" w:rsidP="00E16642">
      <w:pPr>
        <w:rPr>
          <w:rFonts w:eastAsia="Calibri" w:cs="Times New Roman"/>
          <w:lang w:val="es-ES"/>
        </w:rPr>
      </w:pPr>
      <w:r w:rsidRPr="00A125B4">
        <w:rPr>
          <w:rFonts w:eastAsia="Calibri" w:cs="Times New Roman"/>
        </w:rPr>
        <w:t>Explica</w:t>
      </w:r>
      <w:r>
        <w:rPr>
          <w:rFonts w:eastAsia="Calibri" w:cs="Times New Roman"/>
        </w:rPr>
        <w:t xml:space="preserve">, Eli de Gortari </w:t>
      </w:r>
      <w:sdt>
        <w:sdtPr>
          <w:rPr>
            <w:rFonts w:eastAsia="Calibri" w:cs="Times New Roman"/>
          </w:rPr>
          <w:id w:val="5188933"/>
          <w:citation/>
        </w:sdtPr>
        <w:sdtEndPr/>
        <w:sdtContent>
          <w:r w:rsidR="0072146B">
            <w:rPr>
              <w:rFonts w:eastAsia="Calibri" w:cs="Times New Roman"/>
            </w:rPr>
            <w:fldChar w:fldCharType="begin"/>
          </w:r>
          <w:r>
            <w:rPr>
              <w:rFonts w:eastAsia="Calibri" w:cs="Times New Roman"/>
            </w:rPr>
            <w:instrText xml:space="preserve"> CITATION DeG80 \n  \t  \l 2058  </w:instrText>
          </w:r>
          <w:r w:rsidR="0072146B">
            <w:rPr>
              <w:rFonts w:eastAsia="Calibri" w:cs="Times New Roman"/>
            </w:rPr>
            <w:fldChar w:fldCharType="separate"/>
          </w:r>
          <w:r w:rsidRPr="00DD0B6E">
            <w:rPr>
              <w:rFonts w:eastAsia="Calibri" w:cs="Times New Roman"/>
              <w:noProof/>
            </w:rPr>
            <w:t>(1980)</w:t>
          </w:r>
          <w:r w:rsidR="0072146B">
            <w:rPr>
              <w:rFonts w:eastAsia="Calibri" w:cs="Times New Roman"/>
            </w:rPr>
            <w:fldChar w:fldCharType="end"/>
          </w:r>
        </w:sdtContent>
      </w:sdt>
      <w:r>
        <w:rPr>
          <w:rFonts w:eastAsia="Calibri" w:cs="Times New Roman"/>
        </w:rPr>
        <w:t>,</w:t>
      </w:r>
      <w:r w:rsidRPr="00A125B4">
        <w:rPr>
          <w:rFonts w:eastAsia="Calibri" w:cs="Times New Roman"/>
        </w:rPr>
        <w:t xml:space="preserve"> que dentro de la actividad filosófica, la metodología “consiste en elaborar las teorías de los diversos métodos empleados en la investigación científica, comprendiendo su fundamentación, sus leyes generales, sus teoremas específicos, sus </w:t>
      </w:r>
      <w:proofErr w:type="spellStart"/>
      <w:r w:rsidRPr="00A125B4">
        <w:rPr>
          <w:rFonts w:eastAsia="Calibri" w:cs="Times New Roman"/>
        </w:rPr>
        <w:t>empiremas</w:t>
      </w:r>
      <w:proofErr w:type="spellEnd"/>
      <w:r w:rsidRPr="00A125B4">
        <w:rPr>
          <w:rFonts w:eastAsia="Calibri" w:cs="Times New Roman"/>
        </w:rPr>
        <w:t xml:space="preserve"> característicos, sus operaciones y sus reglas de cálculo”, y dentro de la actividad científica es el realizar las investigaciones “de acuerdo con los métodos elaborados teóricamente por la filosofía” (p.45).</w:t>
      </w:r>
      <w:r>
        <w:rPr>
          <w:rFonts w:eastAsia="Calibri" w:cs="Times New Roman"/>
        </w:rPr>
        <w:t xml:space="preserve"> </w:t>
      </w:r>
      <w:r>
        <w:rPr>
          <w:rFonts w:eastAsia="Calibri" w:cs="Times New Roman"/>
          <w:lang w:val="es-ES"/>
        </w:rPr>
        <w:t xml:space="preserve">En cuanto al propósito de la metodología de la ciencia, </w:t>
      </w:r>
      <w:r w:rsidRPr="00A125B4">
        <w:rPr>
          <w:rFonts w:eastAsia="Calibri" w:cs="Times New Roman"/>
          <w:lang w:val="es-ES"/>
        </w:rPr>
        <w:t xml:space="preserve">Jiménez Domínguez </w:t>
      </w:r>
      <w:sdt>
        <w:sdtPr>
          <w:rPr>
            <w:rFonts w:eastAsia="Calibri" w:cs="Times New Roman"/>
            <w:lang w:val="es-ES"/>
          </w:rPr>
          <w:id w:val="5188916"/>
          <w:citation/>
        </w:sdtPr>
        <w:sdtEndPr/>
        <w:sdtContent>
          <w:r w:rsidR="0072146B">
            <w:rPr>
              <w:rFonts w:eastAsia="Calibri" w:cs="Times New Roman"/>
              <w:lang w:val="es-ES"/>
            </w:rPr>
            <w:fldChar w:fldCharType="begin"/>
          </w:r>
          <w:r>
            <w:rPr>
              <w:rFonts w:eastAsia="Calibri" w:cs="Times New Roman"/>
            </w:rPr>
            <w:instrText xml:space="preserve"> CITATION Jim04 \n  \t  \l 2058  </w:instrText>
          </w:r>
          <w:r w:rsidR="0072146B">
            <w:rPr>
              <w:rFonts w:eastAsia="Calibri" w:cs="Times New Roman"/>
              <w:lang w:val="es-ES"/>
            </w:rPr>
            <w:fldChar w:fldCharType="separate"/>
          </w:r>
          <w:r w:rsidRPr="00A125B4">
            <w:rPr>
              <w:rFonts w:eastAsia="Calibri" w:cs="Times New Roman"/>
              <w:noProof/>
            </w:rPr>
            <w:t>(2004)</w:t>
          </w:r>
          <w:r w:rsidR="0072146B">
            <w:rPr>
              <w:rFonts w:eastAsia="Calibri" w:cs="Times New Roman"/>
              <w:lang w:val="es-ES"/>
            </w:rPr>
            <w:fldChar w:fldCharType="end"/>
          </w:r>
        </w:sdtContent>
      </w:sdt>
      <w:r w:rsidRPr="00A125B4">
        <w:rPr>
          <w:rFonts w:eastAsia="Calibri" w:cs="Times New Roman"/>
          <w:lang w:val="es-ES"/>
        </w:rPr>
        <w:t xml:space="preserve"> dice “es aprender cómo proceden y avanzan las ciencias más duras, como la Física </w:t>
      </w:r>
      <w:r>
        <w:rPr>
          <w:rFonts w:eastAsia="Calibri" w:cs="Times New Roman"/>
          <w:lang w:val="es-ES"/>
        </w:rPr>
        <w:t>[</w:t>
      </w:r>
      <w:r w:rsidRPr="00A125B4">
        <w:rPr>
          <w:rFonts w:eastAsia="Calibri" w:cs="Times New Roman"/>
          <w:lang w:val="es-ES"/>
        </w:rPr>
        <w:t>…</w:t>
      </w:r>
      <w:r>
        <w:rPr>
          <w:rFonts w:eastAsia="Calibri" w:cs="Times New Roman"/>
          <w:lang w:val="es-ES"/>
        </w:rPr>
        <w:t>]</w:t>
      </w:r>
      <w:r w:rsidRPr="00A125B4">
        <w:rPr>
          <w:rFonts w:eastAsia="Calibri" w:cs="Times New Roman"/>
          <w:lang w:val="es-ES"/>
        </w:rPr>
        <w:t xml:space="preserve"> y aplicar ese conocimiento para hacer avanzar otras disciplinas científicas más jóvenes, menos</w:t>
      </w:r>
      <w:r>
        <w:rPr>
          <w:rFonts w:eastAsia="Calibri" w:cs="Times New Roman"/>
          <w:lang w:val="es-ES"/>
        </w:rPr>
        <w:t xml:space="preserve"> desarrolladas” (p. 184), punto de vista que comparte con </w:t>
      </w:r>
      <w:r w:rsidRPr="00B57862">
        <w:rPr>
          <w:rFonts w:eastAsia="Calibri" w:cs="Times New Roman"/>
          <w:lang w:val="es-ES"/>
        </w:rPr>
        <w:t>De Gortari</w:t>
      </w:r>
      <w:sdt>
        <w:sdtPr>
          <w:rPr>
            <w:rFonts w:eastAsia="Calibri" w:cs="Times New Roman"/>
            <w:lang w:val="es-ES"/>
          </w:rPr>
          <w:id w:val="5188914"/>
          <w:citation/>
        </w:sdtPr>
        <w:sdtEndPr/>
        <w:sdtContent>
          <w:r w:rsidR="0072146B">
            <w:rPr>
              <w:rFonts w:eastAsia="Calibri" w:cs="Times New Roman"/>
              <w:lang w:val="es-ES"/>
            </w:rPr>
            <w:fldChar w:fldCharType="begin"/>
          </w:r>
          <w:r>
            <w:rPr>
              <w:rFonts w:eastAsia="Calibri" w:cs="Times New Roman"/>
            </w:rPr>
            <w:instrText xml:space="preserve"> CITATION DeG80 \n  \t  \l 2058  </w:instrText>
          </w:r>
          <w:r w:rsidR="0072146B">
            <w:rPr>
              <w:rFonts w:eastAsia="Calibri" w:cs="Times New Roman"/>
              <w:lang w:val="es-ES"/>
            </w:rPr>
            <w:fldChar w:fldCharType="separate"/>
          </w:r>
          <w:r>
            <w:rPr>
              <w:rFonts w:eastAsia="Calibri" w:cs="Times New Roman"/>
              <w:noProof/>
            </w:rPr>
            <w:t xml:space="preserve"> </w:t>
          </w:r>
          <w:r w:rsidRPr="00A125B4">
            <w:rPr>
              <w:rFonts w:eastAsia="Calibri" w:cs="Times New Roman"/>
              <w:noProof/>
            </w:rPr>
            <w:t>(1980)</w:t>
          </w:r>
          <w:r w:rsidR="0072146B">
            <w:rPr>
              <w:rFonts w:eastAsia="Calibri" w:cs="Times New Roman"/>
              <w:lang w:val="es-ES"/>
            </w:rPr>
            <w:fldChar w:fldCharType="end"/>
          </w:r>
        </w:sdtContent>
      </w:sdt>
      <w:r w:rsidRPr="00B57862">
        <w:rPr>
          <w:rFonts w:eastAsia="Calibri" w:cs="Times New Roman"/>
          <w:lang w:val="es-ES"/>
        </w:rPr>
        <w:t xml:space="preserve"> </w:t>
      </w:r>
      <w:r>
        <w:rPr>
          <w:rFonts w:eastAsia="Calibri" w:cs="Times New Roman"/>
          <w:lang w:val="es-ES"/>
        </w:rPr>
        <w:t xml:space="preserve">quien </w:t>
      </w:r>
      <w:r w:rsidRPr="00B57862">
        <w:rPr>
          <w:rFonts w:eastAsia="Calibri" w:cs="Times New Roman"/>
          <w:lang w:val="es-ES"/>
        </w:rPr>
        <w:t xml:space="preserve">indica que </w:t>
      </w:r>
      <w:r>
        <w:rPr>
          <w:rFonts w:eastAsia="Calibri" w:cs="Times New Roman"/>
          <w:lang w:val="es-ES"/>
        </w:rPr>
        <w:t>la re</w:t>
      </w:r>
      <w:r w:rsidRPr="00B57862">
        <w:rPr>
          <w:rFonts w:eastAsia="Calibri" w:cs="Times New Roman"/>
          <w:lang w:val="es-ES"/>
        </w:rPr>
        <w:t xml:space="preserve">flexión filosófica de una determinada especialidad </w:t>
      </w:r>
      <w:r>
        <w:rPr>
          <w:rFonts w:eastAsia="Calibri" w:cs="Times New Roman"/>
          <w:lang w:val="es-ES"/>
        </w:rPr>
        <w:t>permitirá que</w:t>
      </w:r>
      <w:r w:rsidRPr="00B57862">
        <w:rPr>
          <w:rFonts w:eastAsia="Calibri" w:cs="Times New Roman"/>
          <w:lang w:val="es-ES"/>
        </w:rPr>
        <w:t xml:space="preserve"> pueda lograr su desarrollo. </w:t>
      </w:r>
    </w:p>
    <w:p w:rsidR="00DD0B6E" w:rsidRDefault="00DD0B6E" w:rsidP="00E16642">
      <w:pPr>
        <w:rPr>
          <w:rFonts w:eastAsia="Calibri" w:cs="Times New Roman"/>
          <w:lang w:val="es-ES"/>
        </w:rPr>
      </w:pPr>
    </w:p>
    <w:p w:rsidR="007131B0" w:rsidRDefault="0084187C" w:rsidP="00E16642">
      <w:pPr>
        <w:rPr>
          <w:rFonts w:eastAsia="Calibri" w:cs="Times New Roman"/>
          <w:lang w:val="es-ES"/>
        </w:rPr>
      </w:pPr>
      <w:r>
        <w:rPr>
          <w:rFonts w:eastAsia="Calibri" w:cs="Times New Roman"/>
          <w:lang w:val="es-ES"/>
        </w:rPr>
        <w:t>Puede también abordarse la</w:t>
      </w:r>
      <w:r w:rsidR="00DD0B6E">
        <w:rPr>
          <w:rFonts w:eastAsia="Calibri" w:cs="Times New Roman"/>
          <w:lang w:val="es-ES"/>
        </w:rPr>
        <w:t xml:space="preserve"> relación que guarda la metodología de la ciencia con la filosofía de la ciencia, </w:t>
      </w:r>
      <w:r>
        <w:rPr>
          <w:rFonts w:eastAsia="Calibri" w:cs="Times New Roman"/>
          <w:lang w:val="es-ES"/>
        </w:rPr>
        <w:t xml:space="preserve">y </w:t>
      </w:r>
      <w:r w:rsidR="00DD0B6E">
        <w:rPr>
          <w:rFonts w:eastAsia="Calibri" w:cs="Times New Roman"/>
          <w:lang w:val="es-ES"/>
        </w:rPr>
        <w:t xml:space="preserve">debe saberse que el análisis de los problemas metodológicos depende del paradigma </w:t>
      </w:r>
      <w:r w:rsidR="004B3751">
        <w:rPr>
          <w:rFonts w:eastAsia="Calibri" w:cs="Times New Roman"/>
          <w:lang w:val="es-ES"/>
        </w:rPr>
        <w:t>concurrente.</w:t>
      </w:r>
      <w:r w:rsidR="008D7401">
        <w:rPr>
          <w:rFonts w:eastAsia="Calibri" w:cs="Times New Roman"/>
          <w:lang w:val="es-ES"/>
        </w:rPr>
        <w:t xml:space="preserve"> </w:t>
      </w:r>
      <w:r w:rsidR="00BB602B" w:rsidRPr="00BB602B">
        <w:rPr>
          <w:rFonts w:eastAsia="Calibri" w:cs="Times New Roman"/>
        </w:rPr>
        <w:t xml:space="preserve">La filosofía de la ciencia, ha pasado por diversas etapas en donde se debate su </w:t>
      </w:r>
      <w:r w:rsidR="00BB602B" w:rsidRPr="00BB602B">
        <w:rPr>
          <w:rFonts w:eastAsia="Calibri" w:cs="Times New Roman"/>
          <w:i/>
        </w:rPr>
        <w:t>poder</w:t>
      </w:r>
      <w:r w:rsidR="00BB602B" w:rsidRPr="00BB602B">
        <w:rPr>
          <w:rFonts w:eastAsia="Calibri" w:cs="Times New Roman"/>
        </w:rPr>
        <w:t xml:space="preserve"> sobre la ciencia. </w:t>
      </w:r>
      <w:r w:rsidR="004B3751">
        <w:rPr>
          <w:rFonts w:eastAsia="Calibri" w:cs="Times New Roman"/>
        </w:rPr>
        <w:t xml:space="preserve">Puede </w:t>
      </w:r>
      <w:r w:rsidR="004B3751">
        <w:rPr>
          <w:rFonts w:eastAsia="Calibri" w:cs="Times New Roman"/>
        </w:rPr>
        <w:lastRenderedPageBreak/>
        <w:t>hablarse de una postura sobre el contexto de justificación y otra acerca del contexto de descubrimiento. L</w:t>
      </w:r>
      <w:r w:rsidR="00BB602B" w:rsidRPr="00BB602B">
        <w:rPr>
          <w:rFonts w:eastAsia="Calibri" w:cs="Times New Roman"/>
        </w:rPr>
        <w:t xml:space="preserve">a primera es una filosofía de la ciencia en sentido prescriptivo la cual especifica e intenta justificar, normas por las que deben evaluarse las hipótesis científicas, las teorías y los argumentos explicativos y que al aplicarlas se contribuye </w:t>
      </w:r>
      <w:r w:rsidR="004B3751">
        <w:rPr>
          <w:rFonts w:eastAsia="Calibri" w:cs="Times New Roman"/>
        </w:rPr>
        <w:t>a</w:t>
      </w:r>
      <w:r w:rsidR="00BB602B" w:rsidRPr="00BB602B">
        <w:rPr>
          <w:rFonts w:eastAsia="Calibri" w:cs="Times New Roman"/>
        </w:rPr>
        <w:t>l</w:t>
      </w:r>
      <w:r w:rsidR="004B3751">
        <w:rPr>
          <w:rFonts w:eastAsia="Calibri" w:cs="Times New Roman"/>
        </w:rPr>
        <w:t xml:space="preserve"> conocimiento científico</w:t>
      </w:r>
      <w:r w:rsidR="00BB602B" w:rsidRPr="00BB602B">
        <w:rPr>
          <w:rFonts w:eastAsia="Calibri" w:cs="Times New Roman"/>
        </w:rPr>
        <w:t>;</w:t>
      </w:r>
      <w:r w:rsidR="004B3751">
        <w:rPr>
          <w:rFonts w:eastAsia="Calibri" w:cs="Times New Roman"/>
        </w:rPr>
        <w:t xml:space="preserve"> este contexto es el que tradicionalmente se ha aceptado como el que incluye cuestiones metodológicas y epistemológicas. Sin embargo, </w:t>
      </w:r>
      <w:r w:rsidR="00BB602B" w:rsidRPr="00BB602B">
        <w:rPr>
          <w:rFonts w:eastAsia="Calibri" w:cs="Times New Roman"/>
        </w:rPr>
        <w:t xml:space="preserve">por otro lado está </w:t>
      </w:r>
      <w:r w:rsidR="004B3751">
        <w:rPr>
          <w:rFonts w:eastAsia="Calibri" w:cs="Times New Roman"/>
        </w:rPr>
        <w:t>el contexto del descubrimiento, que trata la forma en que se generan nuevas ideas</w:t>
      </w:r>
      <w:r w:rsidR="00C807CB">
        <w:rPr>
          <w:rFonts w:eastAsia="Calibri" w:cs="Times New Roman"/>
        </w:rPr>
        <w:t>, mostrando los procesos psicológicos y sociales que suceden cuanto el investigador genera conocimiento.</w:t>
      </w:r>
      <w:r w:rsidR="00A871E6">
        <w:rPr>
          <w:rFonts w:eastAsia="Calibri" w:cs="Times New Roman"/>
        </w:rPr>
        <w:t xml:space="preserve"> </w:t>
      </w:r>
      <w:r w:rsidR="00C807CB">
        <w:rPr>
          <w:rFonts w:eastAsia="Calibri" w:cs="Times New Roman"/>
          <w:lang w:val="es-ES"/>
        </w:rPr>
        <w:t xml:space="preserve">En </w:t>
      </w:r>
      <w:r w:rsidR="00366FC1">
        <w:rPr>
          <w:rFonts w:eastAsia="Calibri" w:cs="Times New Roman"/>
          <w:lang w:val="es-ES"/>
        </w:rPr>
        <w:t>cuanto</w:t>
      </w:r>
      <w:r w:rsidR="00C807CB">
        <w:rPr>
          <w:rFonts w:eastAsia="Calibri" w:cs="Times New Roman"/>
          <w:lang w:val="es-ES"/>
        </w:rPr>
        <w:t xml:space="preserve"> al contexto de justificación, que es el específicamente tratado por los filósofos de la ciencia</w:t>
      </w:r>
      <w:r w:rsidR="00085C3E">
        <w:rPr>
          <w:rFonts w:eastAsia="Calibri" w:cs="Times New Roman"/>
          <w:lang w:val="es-ES"/>
        </w:rPr>
        <w:t>.</w:t>
      </w:r>
      <w:r w:rsidR="00C807CB">
        <w:rPr>
          <w:rFonts w:eastAsia="Calibri" w:cs="Times New Roman"/>
          <w:lang w:val="es-ES"/>
        </w:rPr>
        <w:t xml:space="preserve"> A continuación se presentan </w:t>
      </w:r>
      <w:r w:rsidR="008D7401">
        <w:rPr>
          <w:rFonts w:eastAsia="Calibri" w:cs="Times New Roman"/>
          <w:lang w:val="es-ES"/>
        </w:rPr>
        <w:t>brevemente</w:t>
      </w:r>
      <w:r w:rsidR="00C807CB">
        <w:rPr>
          <w:rFonts w:eastAsia="Calibri" w:cs="Times New Roman"/>
          <w:lang w:val="es-ES"/>
        </w:rPr>
        <w:t xml:space="preserve"> </w:t>
      </w:r>
      <w:r w:rsidR="008D7401">
        <w:rPr>
          <w:rFonts w:eastAsia="Calibri" w:cs="Times New Roman"/>
          <w:lang w:val="es-ES"/>
        </w:rPr>
        <w:t>los modelos</w:t>
      </w:r>
      <w:r w:rsidR="003E5982">
        <w:rPr>
          <w:rFonts w:eastAsia="Calibri" w:cs="Times New Roman"/>
          <w:lang w:val="es-ES"/>
        </w:rPr>
        <w:t xml:space="preserve"> de logicismo e historicismo</w:t>
      </w:r>
      <w:r w:rsidR="008D7401">
        <w:rPr>
          <w:rFonts w:eastAsia="Calibri" w:cs="Times New Roman"/>
          <w:lang w:val="es-ES"/>
        </w:rPr>
        <w:t xml:space="preserve"> que han surgido al respecto de acuerdo a </w:t>
      </w:r>
      <w:proofErr w:type="spellStart"/>
      <w:r w:rsidR="003E5982">
        <w:rPr>
          <w:rFonts w:eastAsia="Calibri" w:cs="Times New Roman"/>
          <w:lang w:val="es-ES"/>
        </w:rPr>
        <w:t>Losee</w:t>
      </w:r>
      <w:proofErr w:type="spellEnd"/>
      <w:sdt>
        <w:sdtPr>
          <w:rPr>
            <w:rFonts w:eastAsia="Calibri" w:cs="Times New Roman"/>
            <w:lang w:val="es-ES"/>
          </w:rPr>
          <w:id w:val="5188935"/>
          <w:citation/>
        </w:sdtPr>
        <w:sdtEndPr/>
        <w:sdtContent>
          <w:r w:rsidR="0072146B">
            <w:rPr>
              <w:rFonts w:eastAsia="Calibri" w:cs="Times New Roman"/>
              <w:lang w:val="es-ES"/>
            </w:rPr>
            <w:fldChar w:fldCharType="begin"/>
          </w:r>
          <w:r w:rsidR="00085C3E">
            <w:rPr>
              <w:rFonts w:eastAsia="Calibri" w:cs="Times New Roman"/>
            </w:rPr>
            <w:instrText xml:space="preserve"> CITATION Los88 \n  \t  \l 2058  </w:instrText>
          </w:r>
          <w:r w:rsidR="0072146B">
            <w:rPr>
              <w:rFonts w:eastAsia="Calibri" w:cs="Times New Roman"/>
              <w:lang w:val="es-ES"/>
            </w:rPr>
            <w:fldChar w:fldCharType="separate"/>
          </w:r>
          <w:r w:rsidR="00085C3E">
            <w:rPr>
              <w:rFonts w:eastAsia="Calibri" w:cs="Times New Roman"/>
              <w:noProof/>
            </w:rPr>
            <w:t xml:space="preserve"> </w:t>
          </w:r>
          <w:r w:rsidR="00085C3E" w:rsidRPr="00085C3E">
            <w:rPr>
              <w:rFonts w:eastAsia="Calibri" w:cs="Times New Roman"/>
              <w:noProof/>
            </w:rPr>
            <w:t>(1988)</w:t>
          </w:r>
          <w:r w:rsidR="0072146B">
            <w:rPr>
              <w:rFonts w:eastAsia="Calibri" w:cs="Times New Roman"/>
              <w:lang w:val="es-ES"/>
            </w:rPr>
            <w:fldChar w:fldCharType="end"/>
          </w:r>
        </w:sdtContent>
      </w:sdt>
      <w:r w:rsidR="00085C3E">
        <w:rPr>
          <w:rFonts w:eastAsia="Calibri" w:cs="Times New Roman"/>
          <w:lang w:val="es-ES"/>
        </w:rPr>
        <w:t>, sin pretender una revisión exhaustiva y sin negar la existencia de otros modelos:</w:t>
      </w:r>
    </w:p>
    <w:p w:rsidR="008D7401" w:rsidRDefault="008D7401" w:rsidP="00E16642">
      <w:pPr>
        <w:rPr>
          <w:rFonts w:eastAsia="Calibri" w:cs="Times New Roman"/>
          <w:lang w:val="es-ES"/>
        </w:rPr>
      </w:pPr>
    </w:p>
    <w:p w:rsidR="008D7401" w:rsidRDefault="008D7401" w:rsidP="00E16642">
      <w:r>
        <w:rPr>
          <w:rFonts w:eastAsia="Calibri" w:cs="Times New Roman"/>
          <w:lang w:val="es-ES"/>
        </w:rPr>
        <w:t xml:space="preserve">En la etapa del </w:t>
      </w:r>
      <w:r w:rsidRPr="008D7401">
        <w:rPr>
          <w:rFonts w:eastAsia="Calibri" w:cs="Times New Roman"/>
          <w:b/>
          <w:lang w:val="es-ES"/>
        </w:rPr>
        <w:t>logicismo</w:t>
      </w:r>
      <w:r>
        <w:rPr>
          <w:rFonts w:eastAsia="Calibri" w:cs="Times New Roman"/>
          <w:lang w:val="es-ES"/>
        </w:rPr>
        <w:t xml:space="preserve">, la filosofía de la ciencia propone a la lógica formal para la formulación de leyes y teorías y a la lógica aplicada para la confirmación y explicación de los objetos de estudio. Pueden ubicarse, en esta etapa, los trabajos </w:t>
      </w:r>
      <w:r w:rsidRPr="008D7401">
        <w:t xml:space="preserve">de Aristóteles en cuanto al proceso inductivo-deductivo de la adquisición del conocimiento. Esta idea de reconstrucción lógica abarcó </w:t>
      </w:r>
      <w:r w:rsidR="00BB602B" w:rsidRPr="008D7401">
        <w:t>1940 a 1970</w:t>
      </w:r>
      <w:r w:rsidRPr="008D7401">
        <w:t>,</w:t>
      </w:r>
      <w:r w:rsidR="00BB602B" w:rsidRPr="008D7401">
        <w:t xml:space="preserve"> y entre los principales exponentes se encuentran Rudolf </w:t>
      </w:r>
      <w:proofErr w:type="spellStart"/>
      <w:r w:rsidR="00BB602B" w:rsidRPr="008D7401">
        <w:t>Carnap</w:t>
      </w:r>
      <w:proofErr w:type="spellEnd"/>
      <w:r w:rsidR="00BB602B" w:rsidRPr="008D7401">
        <w:t xml:space="preserve">, Carl </w:t>
      </w:r>
      <w:proofErr w:type="spellStart"/>
      <w:r w:rsidR="00BB602B" w:rsidRPr="008D7401">
        <w:t>Hempel</w:t>
      </w:r>
      <w:proofErr w:type="spellEnd"/>
      <w:r w:rsidR="00BB602B" w:rsidRPr="008D7401">
        <w:t>, R. B.</w:t>
      </w:r>
      <w:r w:rsidR="00BB602B" w:rsidRPr="00BB602B">
        <w:rPr>
          <w:rFonts w:ascii="Bookman Old Style" w:eastAsia="Calibri" w:hAnsi="Bookman Old Style" w:cs="Times New Roman"/>
          <w:sz w:val="22"/>
        </w:rPr>
        <w:t xml:space="preserve"> </w:t>
      </w:r>
      <w:proofErr w:type="spellStart"/>
      <w:r w:rsidR="00BB602B" w:rsidRPr="008D7401">
        <w:t>Braithwaite</w:t>
      </w:r>
      <w:proofErr w:type="spellEnd"/>
      <w:r w:rsidR="00BB602B" w:rsidRPr="008D7401">
        <w:t xml:space="preserve"> y </w:t>
      </w:r>
      <w:proofErr w:type="spellStart"/>
      <w:r w:rsidR="00BB602B" w:rsidRPr="008D7401">
        <w:t>Ernest</w:t>
      </w:r>
      <w:proofErr w:type="spellEnd"/>
      <w:r w:rsidR="00BB602B" w:rsidRPr="008D7401">
        <w:t xml:space="preserve"> </w:t>
      </w:r>
      <w:proofErr w:type="spellStart"/>
      <w:r w:rsidR="00BB602B" w:rsidRPr="008D7401">
        <w:t>Nagel</w:t>
      </w:r>
      <w:proofErr w:type="spellEnd"/>
      <w:r w:rsidRPr="008D7401">
        <w:t>.</w:t>
      </w:r>
    </w:p>
    <w:p w:rsidR="003E5982" w:rsidRDefault="003E5982" w:rsidP="00E16642"/>
    <w:p w:rsidR="00BB602B" w:rsidRDefault="003E5982" w:rsidP="00E16642">
      <w:r>
        <w:t xml:space="preserve">Durante la etapa del </w:t>
      </w:r>
      <w:r w:rsidRPr="003E5982">
        <w:rPr>
          <w:b/>
        </w:rPr>
        <w:t>historicismo</w:t>
      </w:r>
      <w:r w:rsidR="00BB602B" w:rsidRPr="00BB602B">
        <w:t xml:space="preserve"> surge de la preocupación sobre la relación temporal entre las hipótesis y la evidencia. </w:t>
      </w:r>
      <w:r>
        <w:t xml:space="preserve">Entre los representantes de esta etapa </w:t>
      </w:r>
      <w:r w:rsidR="00BB602B" w:rsidRPr="00BB602B">
        <w:t>destaca</w:t>
      </w:r>
      <w:r>
        <w:t>n:</w:t>
      </w:r>
      <w:r w:rsidR="00BB602B" w:rsidRPr="00BB602B">
        <w:t xml:space="preserve"> Popper con su </w:t>
      </w:r>
      <w:proofErr w:type="spellStart"/>
      <w:r w:rsidR="00BB602B" w:rsidRPr="00BB602B">
        <w:t>fa</w:t>
      </w:r>
      <w:r>
        <w:t>lsacionismo</w:t>
      </w:r>
      <w:proofErr w:type="spellEnd"/>
      <w:r>
        <w:t xml:space="preserve">, </w:t>
      </w:r>
      <w:proofErr w:type="spellStart"/>
      <w:r>
        <w:t>Musgrave</w:t>
      </w:r>
      <w:proofErr w:type="spellEnd"/>
      <w:r>
        <w:t xml:space="preserve"> con su postura histórica de la confirmación, y </w:t>
      </w:r>
      <w:proofErr w:type="spellStart"/>
      <w:r>
        <w:t>Lakatos</w:t>
      </w:r>
      <w:proofErr w:type="spellEnd"/>
      <w:r>
        <w:t xml:space="preserve"> con la metodología de los programas científicos, aunque también puede identificarse a este autor con criterios </w:t>
      </w:r>
      <w:proofErr w:type="spellStart"/>
      <w:r>
        <w:t>logicistas</w:t>
      </w:r>
      <w:proofErr w:type="spellEnd"/>
      <w:r>
        <w:t>.</w:t>
      </w:r>
    </w:p>
    <w:p w:rsidR="00BB602B" w:rsidRDefault="00BB602B" w:rsidP="00E16642">
      <w:pPr>
        <w:rPr>
          <w:rFonts w:eastAsia="Calibri" w:cs="Times New Roman"/>
          <w:lang w:val="es-ES"/>
        </w:rPr>
      </w:pPr>
    </w:p>
    <w:p w:rsidR="00085C3E" w:rsidRDefault="00085C3E" w:rsidP="00E16642">
      <w:pPr>
        <w:rPr>
          <w:rFonts w:eastAsia="Calibri" w:cs="Times New Roman"/>
          <w:lang w:val="es-ES"/>
        </w:rPr>
      </w:pPr>
      <w:r>
        <w:rPr>
          <w:rFonts w:eastAsia="Calibri" w:cs="Times New Roman"/>
          <w:lang w:val="es-ES"/>
        </w:rPr>
        <w:t xml:space="preserve">En cuanto al contexto de descubrimiento, se pueden nombrar los trabajos de Herbert </w:t>
      </w:r>
      <w:proofErr w:type="spellStart"/>
      <w:r>
        <w:rPr>
          <w:rFonts w:eastAsia="Calibri" w:cs="Times New Roman"/>
          <w:lang w:val="es-ES"/>
        </w:rPr>
        <w:t>Simon</w:t>
      </w:r>
      <w:proofErr w:type="spellEnd"/>
      <w:r>
        <w:rPr>
          <w:rFonts w:eastAsia="Calibri" w:cs="Times New Roman"/>
          <w:lang w:val="es-ES"/>
        </w:rPr>
        <w:t xml:space="preserve">, Stephen </w:t>
      </w:r>
      <w:proofErr w:type="spellStart"/>
      <w:r>
        <w:rPr>
          <w:rFonts w:eastAsia="Calibri" w:cs="Times New Roman"/>
          <w:lang w:val="es-ES"/>
        </w:rPr>
        <w:t>Toulmun</w:t>
      </w:r>
      <w:proofErr w:type="spellEnd"/>
      <w:r>
        <w:rPr>
          <w:rFonts w:eastAsia="Calibri" w:cs="Times New Roman"/>
          <w:lang w:val="es-ES"/>
        </w:rPr>
        <w:t xml:space="preserve">, Gary </w:t>
      </w:r>
      <w:proofErr w:type="spellStart"/>
      <w:r>
        <w:rPr>
          <w:rFonts w:eastAsia="Calibri" w:cs="Times New Roman"/>
          <w:lang w:val="es-ES"/>
        </w:rPr>
        <w:t>Gutting</w:t>
      </w:r>
      <w:proofErr w:type="spellEnd"/>
      <w:r>
        <w:rPr>
          <w:rFonts w:eastAsia="Calibri" w:cs="Times New Roman"/>
          <w:lang w:val="es-ES"/>
        </w:rPr>
        <w:t xml:space="preserve">, Thomas </w:t>
      </w:r>
      <w:proofErr w:type="spellStart"/>
      <w:r>
        <w:rPr>
          <w:rFonts w:eastAsia="Calibri" w:cs="Times New Roman"/>
          <w:lang w:val="es-ES"/>
        </w:rPr>
        <w:t>Nickles</w:t>
      </w:r>
      <w:proofErr w:type="spellEnd"/>
      <w:r>
        <w:rPr>
          <w:rFonts w:eastAsia="Calibri" w:cs="Times New Roman"/>
          <w:lang w:val="es-ES"/>
        </w:rPr>
        <w:t xml:space="preserve"> o la teoría de los paradigmas de </w:t>
      </w:r>
      <w:proofErr w:type="spellStart"/>
      <w:r>
        <w:rPr>
          <w:rFonts w:eastAsia="Calibri" w:cs="Times New Roman"/>
          <w:lang w:val="es-ES"/>
        </w:rPr>
        <w:t>Kunh</w:t>
      </w:r>
      <w:proofErr w:type="spellEnd"/>
      <w:r>
        <w:rPr>
          <w:rFonts w:eastAsia="Calibri" w:cs="Times New Roman"/>
          <w:lang w:val="es-ES"/>
        </w:rPr>
        <w:t>.</w:t>
      </w:r>
    </w:p>
    <w:p w:rsidR="00085C3E" w:rsidRDefault="00085C3E" w:rsidP="00E16642">
      <w:pPr>
        <w:rPr>
          <w:rFonts w:eastAsia="Calibri" w:cs="Times New Roman"/>
          <w:lang w:val="es-ES"/>
        </w:rPr>
      </w:pPr>
    </w:p>
    <w:p w:rsidR="00DD0B6E" w:rsidRPr="00B57862" w:rsidRDefault="00A871E6" w:rsidP="00E16642">
      <w:pPr>
        <w:rPr>
          <w:rFonts w:eastAsia="Calibri" w:cs="Times New Roman"/>
          <w:lang w:val="es-ES"/>
        </w:rPr>
      </w:pPr>
      <w:r>
        <w:rPr>
          <w:rFonts w:eastAsia="Calibri" w:cs="Times New Roman"/>
        </w:rPr>
        <w:t>Aún sin profundizar en el papel de la filosofía de la ciencia, e</w:t>
      </w:r>
      <w:r w:rsidR="00DD0B6E" w:rsidRPr="00F40D9A">
        <w:rPr>
          <w:rFonts w:eastAsia="Calibri" w:cs="Times New Roman"/>
        </w:rPr>
        <w:t xml:space="preserve">s a partir de </w:t>
      </w:r>
      <w:r>
        <w:rPr>
          <w:rFonts w:eastAsia="Calibri" w:cs="Times New Roman"/>
        </w:rPr>
        <w:t>los</w:t>
      </w:r>
      <w:r w:rsidR="00DD0B6E" w:rsidRPr="00F40D9A">
        <w:rPr>
          <w:rFonts w:eastAsia="Calibri" w:cs="Times New Roman"/>
        </w:rPr>
        <w:t xml:space="preserve"> argumentos </w:t>
      </w:r>
      <w:r>
        <w:rPr>
          <w:rFonts w:eastAsia="Calibri" w:cs="Times New Roman"/>
        </w:rPr>
        <w:t xml:space="preserve">anteriores </w:t>
      </w:r>
      <w:r w:rsidR="00DD0B6E" w:rsidRPr="00F40D9A">
        <w:rPr>
          <w:rFonts w:eastAsia="Calibri" w:cs="Times New Roman"/>
        </w:rPr>
        <w:t>que puede hablarse de la metodología en términos de reflexión sistemática y</w:t>
      </w:r>
      <w:r w:rsidR="00085C3E">
        <w:rPr>
          <w:rFonts w:eastAsia="Calibri" w:cs="Times New Roman"/>
        </w:rPr>
        <w:t xml:space="preserve"> profunda, sobre características y</w:t>
      </w:r>
      <w:r w:rsidR="00DD0B6E" w:rsidRPr="00F40D9A">
        <w:rPr>
          <w:rFonts w:eastAsia="Calibri" w:cs="Times New Roman"/>
        </w:rPr>
        <w:t xml:space="preserve"> problemas de la</w:t>
      </w:r>
      <w:r w:rsidR="00085C3E">
        <w:rPr>
          <w:rFonts w:eastAsia="Calibri" w:cs="Times New Roman"/>
        </w:rPr>
        <w:t xml:space="preserve"> ciencia. Indicando que</w:t>
      </w:r>
      <w:r w:rsidR="00085C3E">
        <w:rPr>
          <w:rFonts w:eastAsia="Calibri" w:cs="Times New Roman"/>
          <w:lang w:val="es-ES"/>
        </w:rPr>
        <w:t xml:space="preserve"> no se tiene de manera</w:t>
      </w:r>
      <w:r w:rsidR="00DD0B6E" w:rsidRPr="00F40D9A">
        <w:rPr>
          <w:rFonts w:eastAsia="Calibri" w:cs="Times New Roman"/>
          <w:lang w:val="es-ES"/>
        </w:rPr>
        <w:t xml:space="preserve"> </w:t>
      </w:r>
      <w:r w:rsidR="00DD0B6E" w:rsidRPr="00F40D9A">
        <w:rPr>
          <w:rFonts w:eastAsia="Calibri" w:cs="Times New Roman"/>
          <w:i/>
          <w:iCs/>
          <w:lang w:val="es-ES"/>
        </w:rPr>
        <w:t>a priori</w:t>
      </w:r>
      <w:r w:rsidR="00085C3E">
        <w:rPr>
          <w:rFonts w:eastAsia="Calibri" w:cs="Times New Roman"/>
          <w:iCs/>
          <w:lang w:val="es-ES"/>
        </w:rPr>
        <w:t>, sino</w:t>
      </w:r>
      <w:r w:rsidR="00DD0B6E" w:rsidRPr="00F40D9A">
        <w:rPr>
          <w:rFonts w:eastAsia="Calibri" w:cs="Times New Roman"/>
          <w:lang w:val="es-ES"/>
        </w:rPr>
        <w:t xml:space="preserve"> </w:t>
      </w:r>
      <w:r w:rsidR="00AB32CA">
        <w:rPr>
          <w:rFonts w:eastAsia="Calibri" w:cs="Times New Roman"/>
          <w:lang w:val="es-ES"/>
        </w:rPr>
        <w:t>solo</w:t>
      </w:r>
      <w:r w:rsidR="00DD0B6E" w:rsidRPr="00F40D9A">
        <w:rPr>
          <w:rFonts w:eastAsia="Calibri" w:cs="Times New Roman"/>
          <w:lang w:val="es-ES"/>
        </w:rPr>
        <w:t xml:space="preserve"> se puede describir cuando se haya concluido la investigación</w:t>
      </w:r>
      <w:r w:rsidR="00085C3E">
        <w:rPr>
          <w:rFonts w:eastAsia="Calibri" w:cs="Times New Roman"/>
          <w:lang w:val="es-ES"/>
        </w:rPr>
        <w:t xml:space="preserve"> y </w:t>
      </w:r>
      <w:r w:rsidR="00DD0B6E" w:rsidRPr="00F40D9A">
        <w:rPr>
          <w:rFonts w:eastAsia="Calibri" w:cs="Times New Roman"/>
        </w:rPr>
        <w:t>esta reflexión conduce al especialista a</w:t>
      </w:r>
      <w:r w:rsidR="00085C3E">
        <w:rPr>
          <w:rFonts w:eastAsia="Calibri" w:cs="Times New Roman"/>
        </w:rPr>
        <w:t xml:space="preserve"> trascenderse como tal. </w:t>
      </w:r>
      <w:r w:rsidR="00DD0B6E" w:rsidRPr="006C7064">
        <w:rPr>
          <w:rFonts w:eastAsia="Calibri" w:cs="Times New Roman"/>
        </w:rPr>
        <w:t>Es por ello que ahora puede entenderse que la metodología desborda los problemas propiamente metodológicos, pues tiene implicaciones de carácter gnoseológico, epistemológico, de lógica y aún de concepción del mundo, es decir, de Filosofía, así como también alcances ideológicos y axiológicos</w:t>
      </w:r>
    </w:p>
    <w:p w:rsidR="00DD0B6E" w:rsidRDefault="00DD0B6E" w:rsidP="00E16642">
      <w:pPr>
        <w:rPr>
          <w:rFonts w:eastAsia="Calibri" w:cs="Times New Roman"/>
          <w:lang w:val="es-ES"/>
        </w:rPr>
      </w:pPr>
    </w:p>
    <w:p w:rsidR="00DD0B6E" w:rsidRDefault="00DD0B6E" w:rsidP="00E16642">
      <w:pPr>
        <w:rPr>
          <w:rFonts w:eastAsia="Calibri" w:cs="Times New Roman"/>
          <w:lang w:val="es-ES"/>
        </w:rPr>
      </w:pPr>
      <w:proofErr w:type="spellStart"/>
      <w:r w:rsidRPr="00F40D9A">
        <w:rPr>
          <w:rFonts w:eastAsia="Calibri" w:cs="Times New Roman"/>
          <w:lang w:val="es-ES"/>
        </w:rPr>
        <w:t>Machlup</w:t>
      </w:r>
      <w:proofErr w:type="spellEnd"/>
      <w:r w:rsidRPr="00F40D9A">
        <w:rPr>
          <w:rFonts w:eastAsia="Calibri" w:cs="Times New Roman"/>
          <w:lang w:val="es-ES"/>
        </w:rPr>
        <w:t xml:space="preserve"> (1978) entiende por metodología el estudio de los principios que guían a estudiantes de cualquier campo del conocimiento, y de cualquier rama de cualquier campo del conocimiento de alto nivel (la ciencia) en cuanto a la decisión de aceptar o rechazar ciertas proposiciones como una parte del conocimiento en general y de su propia disciplina. No se trata de hablar entonces de la manera de llevar un estudio o la única manera de hacerlo. Aunque la metodología </w:t>
      </w:r>
      <w:r w:rsidRPr="00F40D9A">
        <w:rPr>
          <w:rFonts w:eastAsia="Calibri" w:cs="Times New Roman"/>
          <w:i/>
          <w:iCs/>
          <w:lang w:val="es-ES"/>
        </w:rPr>
        <w:t>se trata sobre</w:t>
      </w:r>
      <w:r w:rsidRPr="00F40D9A">
        <w:rPr>
          <w:rFonts w:eastAsia="Calibri" w:cs="Times New Roman"/>
          <w:lang w:val="es-ES"/>
        </w:rPr>
        <w:t xml:space="preserve"> los métodos no es de un método o una serie de ellos o la descripción de estos. En vez de ello, la metodología provee argumentos o racionalizaciones, que </w:t>
      </w:r>
      <w:r w:rsidR="00085C3E" w:rsidRPr="00F40D9A">
        <w:rPr>
          <w:rFonts w:eastAsia="Calibri" w:cs="Times New Roman"/>
          <w:lang w:val="es-ES"/>
        </w:rPr>
        <w:t>proporcionan</w:t>
      </w:r>
      <w:r w:rsidRPr="00F40D9A">
        <w:rPr>
          <w:rFonts w:eastAsia="Calibri" w:cs="Times New Roman"/>
          <w:lang w:val="es-ES"/>
        </w:rPr>
        <w:t xml:space="preserve"> soporte a las consideraciones de la comunidad científica acerca de las reglas de los procedimientos intelectuales, incluyendo la formación de conceptos, la construcción de modelos, la formulación de hipótesis y la prueba de teorías</w:t>
      </w:r>
      <w:r w:rsidR="007D40E8">
        <w:rPr>
          <w:rFonts w:eastAsia="Calibri" w:cs="Times New Roman"/>
          <w:lang w:val="es-ES"/>
        </w:rPr>
        <w:t>. E</w:t>
      </w:r>
      <w:r w:rsidRPr="00F40D9A">
        <w:rPr>
          <w:rFonts w:eastAsia="Calibri" w:cs="Times New Roman"/>
          <w:lang w:val="es-ES"/>
        </w:rPr>
        <w:t>n esa línea puede decirse que aunque se utilice el mismo método podría mantenerse una posición metodológica diferente, a la vez que al usar los mismos principios metodológicos podrían utilizarse diferentes métodos, esto dependiendo del planteamiento del problema de investigación, o de las condiciones existentes o asumidas por cada investigador, puede ser la relevancia que le haya dado a cierto factor o la habilidad en la recolección de datos así como la calidad de estos. Así que aunque se usa un método no se usa una metodología, mientras se describe un método no se puede describir una metodología.</w:t>
      </w:r>
    </w:p>
    <w:p w:rsidR="00356E67" w:rsidRDefault="00356E67" w:rsidP="00E16642"/>
    <w:p w:rsidR="00CB46DF" w:rsidRPr="00CB46DF" w:rsidRDefault="00AC5450" w:rsidP="00AC5450">
      <w:r>
        <w:t xml:space="preserve">A manera de conclusión preliminar se puede decir que la amplitud del conjunto de teorías, conducirá a la </w:t>
      </w:r>
      <w:r w:rsidR="00CB46DF" w:rsidRPr="00CB46DF">
        <w:t>diversidad de enfoques teórico-metodológicos y de métodos de investigación</w:t>
      </w:r>
      <w:r>
        <w:t xml:space="preserve">. Siguiendo a </w:t>
      </w:r>
      <w:proofErr w:type="spellStart"/>
      <w:r w:rsidRPr="00CB46DF">
        <w:t>Sautu</w:t>
      </w:r>
      <w:proofErr w:type="spellEnd"/>
      <w:r w:rsidRPr="00CB46DF">
        <w:t xml:space="preserve">, </w:t>
      </w:r>
      <w:proofErr w:type="spellStart"/>
      <w:r w:rsidRPr="00CB46DF">
        <w:t>Boniolo</w:t>
      </w:r>
      <w:proofErr w:type="spellEnd"/>
      <w:r w:rsidRPr="00CB46DF">
        <w:t xml:space="preserve">, Dalle </w:t>
      </w:r>
      <w:r>
        <w:t>y</w:t>
      </w:r>
      <w:r w:rsidRPr="00CB46DF">
        <w:t xml:space="preserve"> </w:t>
      </w:r>
      <w:proofErr w:type="spellStart"/>
      <w:r w:rsidRPr="00CB46DF">
        <w:t>Elbert</w:t>
      </w:r>
      <w:proofErr w:type="spellEnd"/>
      <w:r>
        <w:t xml:space="preserve"> (</w:t>
      </w:r>
      <w:r w:rsidRPr="00CB46DF">
        <w:t>2005</w:t>
      </w:r>
      <w:r>
        <w:t>) se afirma que c</w:t>
      </w:r>
      <w:r w:rsidR="00CB46DF" w:rsidRPr="00CB46DF">
        <w:t>ada área disciplinaria es una unidad en sí misma, con sus teorías, sus estilos de hacer investigación y validarlos. Diversas teorías, objetivos y problemáticas, dentro de cada disciplina y entre disciplina, han ido conformando una gran variedad de respuestas metodológicas. Cada una con sus propios fundamentos epistemológicos, cada una con sus propios procedimientos explícitos conocidos, consensuados por aquellos que trabajan en una línea o estilo de investigación</w:t>
      </w:r>
      <w:r>
        <w:t>.</w:t>
      </w:r>
    </w:p>
    <w:p w:rsidR="00CB46DF" w:rsidRDefault="00CB46DF" w:rsidP="00E16642"/>
    <w:p w:rsidR="007D40E8" w:rsidRDefault="00AC5450" w:rsidP="00E16642">
      <w:r>
        <w:t xml:space="preserve">Ahora, con la postura presentada ante la diferencia de la metodología de la ciencia y la metodología desde la concepción de la ciencia unificada, puede </w:t>
      </w:r>
      <w:r w:rsidR="007D40E8">
        <w:t>retoma</w:t>
      </w:r>
      <w:r>
        <w:t>rse</w:t>
      </w:r>
      <w:r w:rsidR="007D40E8">
        <w:t xml:space="preserve"> el análisis </w:t>
      </w:r>
      <w:r>
        <w:t>d</w:t>
      </w:r>
      <w:r w:rsidR="007D40E8">
        <w:t xml:space="preserve">e la Maestría en Ciencia en Metodología de la Ciencia, </w:t>
      </w:r>
      <w:r w:rsidR="00356E67" w:rsidRPr="00EB5CF0">
        <w:t>sobre el objetivo o finalidad que tiene el programa dentro del marco político institucional del IPN</w:t>
      </w:r>
      <w:r w:rsidR="00A2561A">
        <w:t>, entre formar estudiantes en metodología de la ciencia o en  métodos de investigación.</w:t>
      </w:r>
    </w:p>
    <w:p w:rsidR="00356E67" w:rsidRPr="00EB5CF0" w:rsidRDefault="007D40E8" w:rsidP="00E16642">
      <w:r w:rsidRPr="00EB5CF0">
        <w:t xml:space="preserve"> </w:t>
      </w:r>
    </w:p>
    <w:p w:rsidR="00356E67" w:rsidRPr="00EB5CF0" w:rsidRDefault="00356E67" w:rsidP="00E16642">
      <w:r w:rsidRPr="00EB5CF0">
        <w:t>Para lo anterior</w:t>
      </w:r>
      <w:r w:rsidR="00A2561A">
        <w:t xml:space="preserve"> se presenta una división de cuatro apartados</w:t>
      </w:r>
      <w:r w:rsidRPr="00EB5CF0">
        <w:t xml:space="preserve">, el primero, los antecedentes de la MCMC; el segundo, desde su inicio en 1984 dentro del Proyecto de Estudios Sociales, Tecnológicos y Científicos (PESTyC) hasta su receso en el 2002 y la consecuente desaparición del PESTyC; el tercero, desde su reapertura en 2004 en el CIECAS hasta su receso en 2010; y el cuarto desde su </w:t>
      </w:r>
      <w:r w:rsidR="00AB640B">
        <w:t>reanudación</w:t>
      </w:r>
      <w:r w:rsidRPr="00EB5CF0">
        <w:t xml:space="preserve"> en 2011 y su perspectiva al 2025 dentro del mismo CIECAS.</w:t>
      </w:r>
    </w:p>
    <w:p w:rsidR="00356E67" w:rsidRPr="00EB5CF0" w:rsidRDefault="00356E67" w:rsidP="00E16642"/>
    <w:p w:rsidR="00356E67" w:rsidRPr="00EB5CF0" w:rsidRDefault="00356E67" w:rsidP="00E16642"/>
    <w:p w:rsidR="003E1A0D" w:rsidRPr="003E1A0D" w:rsidRDefault="003E1A0D" w:rsidP="003E1A0D">
      <w:pPr>
        <w:pStyle w:val="Ttulo2"/>
      </w:pPr>
      <w:bookmarkStart w:id="15" w:name="_Toc308691483"/>
      <w:r w:rsidRPr="003E1A0D">
        <w:t>La Maestría en Ciencias en Metodología de la Ciencia</w:t>
      </w:r>
      <w:bookmarkEnd w:id="15"/>
    </w:p>
    <w:p w:rsidR="00356E67" w:rsidRPr="003E1A0D" w:rsidRDefault="00436C36" w:rsidP="003E1A0D">
      <w:pPr>
        <w:rPr>
          <w:b/>
        </w:rPr>
      </w:pPr>
      <w:r w:rsidRPr="003E1A0D">
        <w:rPr>
          <w:b/>
        </w:rPr>
        <w:t>Antecedentes</w:t>
      </w:r>
      <w:r w:rsidR="005D5427" w:rsidRPr="003E1A0D">
        <w:rPr>
          <w:b/>
        </w:rPr>
        <w:t xml:space="preserve"> de la MCMC</w:t>
      </w:r>
    </w:p>
    <w:p w:rsidR="00356E67" w:rsidRPr="00EB5CF0" w:rsidRDefault="00356E67" w:rsidP="00E16642"/>
    <w:p w:rsidR="00356E67" w:rsidRPr="00EB5CF0" w:rsidRDefault="00356E67" w:rsidP="00E16642">
      <w:r w:rsidRPr="00EB5CF0">
        <w:t>El contexto mundial de finales del siglo pasado, favoreció las iniciativas de crear programas de estudio relacionados con la metodología</w:t>
      </w:r>
      <w:sdt>
        <w:sdtPr>
          <w:id w:val="3196063"/>
          <w:citation/>
        </w:sdtPr>
        <w:sdtEndPr/>
        <w:sdtContent>
          <w:r w:rsidR="0072146B" w:rsidRPr="00EB5CF0">
            <w:fldChar w:fldCharType="begin"/>
          </w:r>
          <w:r w:rsidRPr="00EB5CF0">
            <w:instrText xml:space="preserve"> CITATION Ace07 \l 2058 </w:instrText>
          </w:r>
          <w:r w:rsidR="0072146B" w:rsidRPr="00EB5CF0">
            <w:fldChar w:fldCharType="separate"/>
          </w:r>
          <w:r w:rsidRPr="00EB5CF0">
            <w:rPr>
              <w:noProof/>
            </w:rPr>
            <w:t xml:space="preserve"> (Acevedo Díaz, Vázquez </w:t>
          </w:r>
          <w:r w:rsidRPr="00EB5CF0">
            <w:rPr>
              <w:noProof/>
            </w:rPr>
            <w:lastRenderedPageBreak/>
            <w:t>Alonso, Manassero Más, &amp; Acevedo Romero, 2007)</w:t>
          </w:r>
          <w:r w:rsidR="0072146B" w:rsidRPr="00EB5CF0">
            <w:fldChar w:fldCharType="end"/>
          </w:r>
        </w:sdtContent>
      </w:sdt>
      <w:r w:rsidRPr="00EB5CF0">
        <w:t xml:space="preserve">. Un ejemplo de ello es que la Organización de Estados Americanos recomendaba la inclusión de asignaturas dedicadas al estudio del método científico. Ante este planteamiento de política educativa, en México en la década de los 70’s, la Secretaría de Educación Pública incluyó en el nivel medio superior: vocacional, Colegios de Bachilleres, y Bachilleratos Técnicos, Industriales y Agropecuarios, dicha materia </w:t>
      </w:r>
      <w:sdt>
        <w:sdtPr>
          <w:id w:val="219657"/>
          <w:citation/>
        </w:sdtPr>
        <w:sdtEndPr/>
        <w:sdtContent>
          <w:r w:rsidR="0072146B" w:rsidRPr="00EB5CF0">
            <w:fldChar w:fldCharType="begin"/>
          </w:r>
          <w:r w:rsidRPr="00EB5CF0">
            <w:instrText xml:space="preserve"> CITATION Roj \l 2058  </w:instrText>
          </w:r>
          <w:r w:rsidR="0072146B" w:rsidRPr="00EB5CF0">
            <w:fldChar w:fldCharType="separate"/>
          </w:r>
          <w:r w:rsidRPr="00EB5CF0">
            <w:rPr>
              <w:noProof/>
            </w:rPr>
            <w:t>(Rojo Asenjo, s. a.)</w:t>
          </w:r>
          <w:r w:rsidR="0072146B" w:rsidRPr="00EB5CF0">
            <w:fldChar w:fldCharType="end"/>
          </w:r>
        </w:sdtContent>
      </w:sdt>
      <w:r w:rsidRPr="00EB5CF0">
        <w:t>, lo cual evidenció la falta de formación de los mismos profesores en este tema.</w:t>
      </w:r>
    </w:p>
    <w:p w:rsidR="00356E67" w:rsidRPr="00EB5CF0" w:rsidRDefault="00356E67" w:rsidP="00E16642"/>
    <w:p w:rsidR="00356E67" w:rsidRPr="00EB5CF0" w:rsidRDefault="00356E67" w:rsidP="00E16642">
      <w:r w:rsidRPr="00EB5CF0">
        <w:t xml:space="preserve">Otra iniciativa similar, fue la de Eli de Gortari con un proyecto de estudios de posgrado en Metodología de la Ciencia, que de acuerdo con Raúl Rojas </w:t>
      </w:r>
      <w:r w:rsidRPr="00EB5CF0">
        <w:rPr>
          <w:noProof/>
        </w:rPr>
        <w:t xml:space="preserve">Soriano </w:t>
      </w:r>
      <w:sdt>
        <w:sdtPr>
          <w:rPr>
            <w:noProof/>
          </w:rPr>
          <w:id w:val="3396003"/>
          <w:citation/>
        </w:sdtPr>
        <w:sdtEndPr/>
        <w:sdtContent>
          <w:r w:rsidR="0072146B" w:rsidRPr="00EB5CF0">
            <w:rPr>
              <w:noProof/>
            </w:rPr>
            <w:fldChar w:fldCharType="begin"/>
          </w:r>
          <w:r w:rsidRPr="00EB5CF0">
            <w:rPr>
              <w:noProof/>
            </w:rPr>
            <w:instrText xml:space="preserve"> CITATION Roj99 \n  \t  \l 2058  </w:instrText>
          </w:r>
          <w:r w:rsidR="0072146B" w:rsidRPr="00EB5CF0">
            <w:rPr>
              <w:noProof/>
            </w:rPr>
            <w:fldChar w:fldCharType="separate"/>
          </w:r>
          <w:r w:rsidRPr="00EB5CF0">
            <w:rPr>
              <w:noProof/>
            </w:rPr>
            <w:t>(1999)</w:t>
          </w:r>
          <w:r w:rsidR="0072146B" w:rsidRPr="00EB5CF0">
            <w:rPr>
              <w:noProof/>
            </w:rPr>
            <w:fldChar w:fldCharType="end"/>
          </w:r>
        </w:sdtContent>
      </w:sdt>
      <w:r w:rsidRPr="00EB5CF0">
        <w:rPr>
          <w:noProof/>
        </w:rPr>
        <w:t>, se</w:t>
      </w:r>
      <w:r w:rsidRPr="00EB5CF0">
        <w:t xml:space="preserve"> había diseñado para la Universidad de Nueva Orleáns. </w:t>
      </w:r>
      <w:r w:rsidR="00A2561A">
        <w:t>E</w:t>
      </w:r>
      <w:r w:rsidRPr="00EB5CF0">
        <w:t>ste fue el programa que envió a Mario Bunge, quien criticó su pertinencia y diseño</w:t>
      </w:r>
      <w:r w:rsidR="00DB33F4">
        <w:t>,</w:t>
      </w:r>
      <w:r w:rsidRPr="00EB5CF0">
        <w:t xml:space="preserve"> además de rechazarlo y plantear uno propio</w:t>
      </w:r>
      <w:r w:rsidR="00DB33F4">
        <w:t xml:space="preserve"> (conocido debate entre ambos);</w:t>
      </w:r>
      <w:r w:rsidR="00111C53">
        <w:t xml:space="preserve"> una de las razones pudo deberse a</w:t>
      </w:r>
      <w:r w:rsidRPr="00EB5CF0">
        <w:t xml:space="preserve"> la tendencia ideol</w:t>
      </w:r>
      <w:r w:rsidR="00111C53">
        <w:t xml:space="preserve">ógica </w:t>
      </w:r>
      <w:r w:rsidRPr="00EB5CF0">
        <w:t>marxista (que exige explicar las cuestiones científicas bajo un contexto histórico social) y el uso del método dialéctico que proponía De Gortari y que Bunge no compartía.</w:t>
      </w:r>
    </w:p>
    <w:p w:rsidR="00356E67" w:rsidRPr="00EB5CF0" w:rsidRDefault="00356E67" w:rsidP="00E16642"/>
    <w:p w:rsidR="00DB33F4" w:rsidRDefault="00356E67" w:rsidP="00E16642">
      <w:r w:rsidRPr="00EB5CF0">
        <w:t xml:space="preserve">A pesar de dicho rechazo, la maestría en Metodología de la Ciencia de Eli De Gortari fue instaurada en agosto de 1975 en la Universidad Autónoma de Nuevo León y de acuerdo con lo publicado en el primer número de la revista Dialéctica </w:t>
      </w:r>
      <w:sdt>
        <w:sdtPr>
          <w:id w:val="3396009"/>
          <w:citation/>
        </w:sdtPr>
        <w:sdtEndPr/>
        <w:sdtContent>
          <w:r w:rsidR="0072146B" w:rsidRPr="00EB5CF0">
            <w:fldChar w:fldCharType="begin"/>
          </w:r>
          <w:r w:rsidRPr="00EB5CF0">
            <w:instrText xml:space="preserve"> CITATION Not761 \n  \t  \l 2058  </w:instrText>
          </w:r>
          <w:r w:rsidR="0072146B" w:rsidRPr="00EB5CF0">
            <w:fldChar w:fldCharType="separate"/>
          </w:r>
          <w:r w:rsidRPr="00EB5CF0">
            <w:rPr>
              <w:noProof/>
            </w:rPr>
            <w:t>(1976)</w:t>
          </w:r>
          <w:r w:rsidR="0072146B" w:rsidRPr="00EB5CF0">
            <w:fldChar w:fldCharType="end"/>
          </w:r>
        </w:sdtContent>
      </w:sdt>
      <w:r w:rsidRPr="00EB5CF0">
        <w:t xml:space="preserve"> se contaba con la colaboración de profesores de la Universidad Nacional para la impartición de cursos. Igualmente en 1976 se abrió el mismo programa de maestría en la Universidad de Puebla.</w:t>
      </w:r>
    </w:p>
    <w:p w:rsidR="00356E67" w:rsidRPr="00EB5CF0" w:rsidRDefault="00DB33F4" w:rsidP="00E16642">
      <w:r w:rsidRPr="00EB5CF0">
        <w:t xml:space="preserve"> </w:t>
      </w:r>
    </w:p>
    <w:p w:rsidR="00356E67" w:rsidRPr="00EB5CF0" w:rsidRDefault="00356E67" w:rsidP="00E16642">
      <w:r w:rsidRPr="00EB5CF0">
        <w:t xml:space="preserve">En este marco, el de la crítica al diseño del programa y su instauración en sedes alternas a las programadas, es en donde inicia el devenir de la MCMC permeado siempre por el debate académico. Un debate que pasa de lo teórico-conceptual a lo político-ideológico, dependiendo de las personas que dirigen, coordinan o participan en la Maestría. Dicho de otra </w:t>
      </w:r>
      <w:r w:rsidR="00DB33F4">
        <w:t>forma</w:t>
      </w:r>
      <w:r w:rsidRPr="00EB5CF0">
        <w:t xml:space="preserve">, de manera congénita la Maestría adquiere este mal con el que ha vivido sus veinticinco años, pero al igual que </w:t>
      </w:r>
      <w:r w:rsidRPr="00EB5CF0">
        <w:lastRenderedPageBreak/>
        <w:t>muchos padecimientos no necesariamente es perjudicial sino que permite desarrollar grandes virtudes, habrá que recordar la genialidad de Mozart.</w:t>
      </w:r>
    </w:p>
    <w:p w:rsidR="00356E67" w:rsidRPr="00EB5CF0" w:rsidRDefault="00356E67" w:rsidP="00E16642"/>
    <w:p w:rsidR="00356E67" w:rsidRPr="00EB5CF0" w:rsidRDefault="00356E67" w:rsidP="00E16642"/>
    <w:p w:rsidR="00356E67" w:rsidRPr="003E1A0D" w:rsidRDefault="00436C36" w:rsidP="003E1A0D">
      <w:pPr>
        <w:rPr>
          <w:b/>
        </w:rPr>
      </w:pPr>
      <w:r w:rsidRPr="003E1A0D">
        <w:rPr>
          <w:b/>
        </w:rPr>
        <w:t>La MCMC de 1984-2002</w:t>
      </w:r>
    </w:p>
    <w:p w:rsidR="00356E67" w:rsidRPr="00EB5CF0" w:rsidRDefault="00356E67" w:rsidP="00E16642"/>
    <w:p w:rsidR="00356E67" w:rsidRPr="00EB5CF0" w:rsidRDefault="00356E67" w:rsidP="00E16642">
      <w:r w:rsidRPr="00EB5CF0">
        <w:t>Eli de Gortari y Jorge Maksabedian, ingeniero egresado de la ESIME-IPN, tuvieron una fuerte relación, inició como maestro-alumno, luego como integrantes de la Asociación Filosófica de México y como militantes del partido Comunista, gracias a ello Eli de Gortari tuvo la oportunidad de participar en el IPN y luego presentar su proyecto para instaurarlo en el Instituto. La ideología político-académica de ambos era la ideología marxista de la praxis.</w:t>
      </w:r>
    </w:p>
    <w:p w:rsidR="00356E67" w:rsidRPr="00EB5CF0" w:rsidRDefault="00356E67" w:rsidP="00E16642"/>
    <w:p w:rsidR="00356E67" w:rsidRPr="00EB5CF0" w:rsidRDefault="00356E67" w:rsidP="00E16642">
      <w:r w:rsidRPr="00EB5CF0">
        <w:t>Las primeras participaciones de Eli de Gortari en el IPN fueron a través de cursos de filosofía para profesores del Instituto y después se presentó la iniciativa para formar el “Centro de Investigación y Enseñanza en Historia y Filosofía de la Ciencia y la Tecnología”, ante el Ingeniero Garza Caballero, director general del IPN. Aunque no llegó a su apertura dicho centro; Rojo Asenjo</w:t>
      </w:r>
      <w:r w:rsidRPr="00EB5CF0">
        <w:rPr>
          <w:noProof/>
        </w:rPr>
        <w:t xml:space="preserve"> (s. a.)</w:t>
      </w:r>
      <w:r w:rsidRPr="00EB5CF0">
        <w:t xml:space="preserve"> hace hincapié en que la formación de ingeniero y educador (teórico de la educación) así como en la pertenencia a la Academia Mexicana de Educación de Garza Caballero fue un factor que mantuvo la posibilidad de que la aceptación del proyecto De Gortari-Maksabedian.</w:t>
      </w:r>
    </w:p>
    <w:p w:rsidR="00356E67" w:rsidRPr="00EB5CF0" w:rsidRDefault="00356E67" w:rsidP="00E16642"/>
    <w:p w:rsidR="00356E67" w:rsidRPr="00EB5CF0" w:rsidRDefault="00356E67" w:rsidP="00E16642">
      <w:r w:rsidRPr="00EB5CF0">
        <w:t>Otro factor fue la necesidad de formar maestros para el nivel bachillerato del IPN que impartieran materias relacionadas con el método científico, sin embargo, puede pensarse que se temía que la formación de cuerpos académicos de profesores de metodología para el bachillerato, se pudiera convertir en formación de cuadros político-académicos teniendo como base la ideología marxista, por lo que siguió la renuencia a seguir la propuesta De Gortari-Maksabedian.</w:t>
      </w:r>
    </w:p>
    <w:p w:rsidR="00356E67" w:rsidRPr="00EB5CF0" w:rsidRDefault="00356E67" w:rsidP="00E16642"/>
    <w:p w:rsidR="00356E67" w:rsidRPr="00EB5CF0" w:rsidRDefault="00356E67" w:rsidP="00E16642">
      <w:pPr>
        <w:rPr>
          <w:noProof/>
        </w:rPr>
      </w:pPr>
      <w:r w:rsidRPr="00EB5CF0">
        <w:lastRenderedPageBreak/>
        <w:t>A pesar de ello se formó una Comisión Revisora por diferentes Escuelas y Centros del IPN</w:t>
      </w:r>
      <w:r w:rsidRPr="00EB5CF0">
        <w:rPr>
          <w:rStyle w:val="Refdenotaalpie"/>
          <w:rFonts w:cs="Arial"/>
          <w:szCs w:val="24"/>
        </w:rPr>
        <w:footnoteReference w:id="7"/>
      </w:r>
      <w:r w:rsidRPr="00EB5CF0">
        <w:t xml:space="preserve"> respecto al proyecto De Gortari-Maksabedian, y se concluyó que aunque era importante la formación en estudios de filosofía, metodología y economía de la ciencia</w:t>
      </w:r>
      <w:r w:rsidR="00DB33F4">
        <w:t>,</w:t>
      </w:r>
      <w:r w:rsidRPr="00EB5CF0">
        <w:t xml:space="preserve"> no se consideraba necesario cursarlos en una maestría completa sino en un curso de </w:t>
      </w:r>
      <w:r w:rsidR="00DB33F4">
        <w:t>especialización o actualización. E</w:t>
      </w:r>
      <w:r w:rsidRPr="00EB5CF0">
        <w:t>ste argumento además se apoyaba en la cuestión de que no se establecía en los documentos del proyecto, de manera clara, la práctica profesional que tendría el egresado de la maestría. De ahí, se consideró que el curso de posgrado estaría dirigido a otorgar el Diploma de Especialización en Metodología de la Ciencia</w:t>
      </w:r>
      <w:r w:rsidRPr="00EB5CF0">
        <w:rPr>
          <w:noProof/>
        </w:rPr>
        <w:t xml:space="preserve"> (Garza Caballero, s. a.; Dirección de Graduados e Investigación, 1983).</w:t>
      </w:r>
    </w:p>
    <w:p w:rsidR="00356E67" w:rsidRPr="00EB5CF0" w:rsidRDefault="00356E67" w:rsidP="00E16642">
      <w:pPr>
        <w:rPr>
          <w:noProof/>
        </w:rPr>
      </w:pPr>
    </w:p>
    <w:p w:rsidR="00356E67" w:rsidRPr="00EB5CF0" w:rsidRDefault="00356E67" w:rsidP="00E16642">
      <w:r w:rsidRPr="00EB5CF0">
        <w:t>Ante las negativas de la Comisión, los cambios que propuso y la disputa teórico-conceptual entre Eli de Gortari y Jorge Maksabedian, el primero tenía una visión político-filosófica de la metodología y Maksabedian pugnaba por un método aplicado, Eli De Gortari salió del proyecto el 23 de Septiembre de 1983</w:t>
      </w:r>
      <w:sdt>
        <w:sdtPr>
          <w:id w:val="5893782"/>
          <w:citation/>
        </w:sdtPr>
        <w:sdtEndPr/>
        <w:sdtContent>
          <w:r w:rsidR="0072146B" w:rsidRPr="00EB5CF0">
            <w:fldChar w:fldCharType="begin"/>
          </w:r>
          <w:r w:rsidRPr="00EB5CF0">
            <w:instrText xml:space="preserve"> CITATION Roj \l 2058 </w:instrText>
          </w:r>
          <w:r w:rsidR="0072146B" w:rsidRPr="00EB5CF0">
            <w:fldChar w:fldCharType="separate"/>
          </w:r>
          <w:r w:rsidRPr="00EB5CF0">
            <w:rPr>
              <w:noProof/>
            </w:rPr>
            <w:t xml:space="preserve"> (Rojo Asenjo, s. a.)</w:t>
          </w:r>
          <w:r w:rsidR="0072146B" w:rsidRPr="00EB5CF0">
            <w:fldChar w:fldCharType="end"/>
          </w:r>
        </w:sdtContent>
      </w:sdt>
      <w:r w:rsidRPr="00EB5CF0">
        <w:t>, e inició una demanda contra el IPN</w:t>
      </w:r>
      <w:r w:rsidR="00ED6217">
        <w:t xml:space="preserve"> que</w:t>
      </w:r>
      <w:r w:rsidR="00527F6A">
        <w:t xml:space="preserve"> incluso</w:t>
      </w:r>
      <w:r w:rsidR="00ED6217">
        <w:t xml:space="preserve"> hizo pública en un periódico nacional</w:t>
      </w:r>
      <w:sdt>
        <w:sdtPr>
          <w:id w:val="951294"/>
          <w:citation/>
        </w:sdtPr>
        <w:sdtEndPr/>
        <w:sdtContent>
          <w:r w:rsidR="0072146B">
            <w:fldChar w:fldCharType="begin"/>
          </w:r>
          <w:r w:rsidR="00ED6217">
            <w:instrText xml:space="preserve"> CITATION Roj97 \t  \l 2058  </w:instrText>
          </w:r>
          <w:r w:rsidR="0072146B">
            <w:fldChar w:fldCharType="separate"/>
          </w:r>
          <w:r w:rsidR="00ED6217">
            <w:rPr>
              <w:noProof/>
            </w:rPr>
            <w:t xml:space="preserve"> </w:t>
          </w:r>
          <w:r w:rsidR="00ED6217" w:rsidRPr="00ED6217">
            <w:rPr>
              <w:noProof/>
            </w:rPr>
            <w:t>(Rojas Soriano, 1997)</w:t>
          </w:r>
          <w:r w:rsidR="0072146B">
            <w:fldChar w:fldCharType="end"/>
          </w:r>
        </w:sdtContent>
      </w:sdt>
      <w:r w:rsidRPr="00EB5CF0">
        <w:t xml:space="preserve">. </w:t>
      </w:r>
    </w:p>
    <w:p w:rsidR="00356E67" w:rsidRPr="00EB5CF0" w:rsidRDefault="00356E67" w:rsidP="00E16642"/>
    <w:p w:rsidR="00356E67" w:rsidRPr="00EB5CF0" w:rsidRDefault="00356E67" w:rsidP="00E16642">
      <w:pPr>
        <w:rPr>
          <w:lang w:val="es-ES_tradnl"/>
        </w:rPr>
      </w:pPr>
      <w:r w:rsidRPr="00EB5CF0">
        <w:rPr>
          <w:noProof/>
        </w:rPr>
        <w:t xml:space="preserve">El proyecto quedó en manos </w:t>
      </w:r>
      <w:r w:rsidRPr="00EB5CF0">
        <w:t xml:space="preserve">de Maksabedian. El 29 de septiembre de 1983 se funda el Proyecto de Estudios Sociales, Tecnológicos y Científicos (PESTYC)  </w:t>
      </w:r>
      <w:sdt>
        <w:sdtPr>
          <w:id w:val="5893783"/>
          <w:citation/>
        </w:sdtPr>
        <w:sdtEndPr/>
        <w:sdtContent>
          <w:r w:rsidR="0072146B" w:rsidRPr="00EB5CF0">
            <w:fldChar w:fldCharType="begin"/>
          </w:r>
          <w:r w:rsidRPr="00EB5CF0">
            <w:instrText xml:space="preserve"> CITATION Lóp06 \l 2058 </w:instrText>
          </w:r>
          <w:r w:rsidR="0072146B" w:rsidRPr="00EB5CF0">
            <w:fldChar w:fldCharType="separate"/>
          </w:r>
          <w:r w:rsidRPr="00EB5CF0">
            <w:rPr>
              <w:noProof/>
            </w:rPr>
            <w:t>(López Guardado, 2006)</w:t>
          </w:r>
          <w:r w:rsidR="0072146B" w:rsidRPr="00EB5CF0">
            <w:fldChar w:fldCharType="end"/>
          </w:r>
        </w:sdtContent>
      </w:sdt>
      <w:r w:rsidRPr="00EB5CF0">
        <w:t xml:space="preserve">, es decir, se cambió por este nombre el proyecto del “Centro de Investigación y Enseñanza en Historia y Filosofía de la Ciencia y la Tecnología” de De Gortari. En el PESTyC se impartiría la Especialidad en Metodología de la Ciencia, aunque la modalidad fue cambiada al año siguiente (1984) y se convirtió en un programa de Maestría. Maksabedian indicaba que la maestría </w:t>
      </w:r>
      <w:r w:rsidRPr="00EB5CF0">
        <w:rPr>
          <w:lang w:val="es-ES_tradnl"/>
        </w:rPr>
        <w:t xml:space="preserve">pretendía cubrir una “necesidad de carácter nacional” ante la urgencia de formar a quienes impartieran cursos de metodología que incluidos en la currículo en diferentes licenciaturas y maestrías. </w:t>
      </w:r>
    </w:p>
    <w:p w:rsidR="00356E67" w:rsidRPr="00EB5CF0" w:rsidRDefault="00356E67" w:rsidP="00E16642">
      <w:pPr>
        <w:rPr>
          <w:lang w:val="es-ES_tradnl"/>
        </w:rPr>
      </w:pPr>
    </w:p>
    <w:p w:rsidR="00356E67" w:rsidRPr="00EB5CF0" w:rsidRDefault="00356E67" w:rsidP="00E16642">
      <w:r w:rsidRPr="00EB5CF0">
        <w:t>El PESTyC se creó con el interés de promover de manera interdisciplinaria, la vinculación de las actividades académicas con la investigación que se realizaba en el Instituto</w:t>
      </w:r>
      <w:sdt>
        <w:sdtPr>
          <w:id w:val="3196064"/>
          <w:citation/>
        </w:sdtPr>
        <w:sdtEndPr/>
        <w:sdtContent>
          <w:r w:rsidR="0072146B" w:rsidRPr="00EB5CF0">
            <w:fldChar w:fldCharType="begin"/>
          </w:r>
          <w:r w:rsidRPr="00EB5CF0">
            <w:instrText xml:space="preserve"> CITATION CIE101 \t  \m CIE10 \t  \l 2058  </w:instrText>
          </w:r>
          <w:r w:rsidR="0072146B" w:rsidRPr="00EB5CF0">
            <w:fldChar w:fldCharType="separate"/>
          </w:r>
          <w:r w:rsidRPr="00EB5CF0">
            <w:rPr>
              <w:noProof/>
            </w:rPr>
            <w:t xml:space="preserve"> (CIECAS, 2010a; CIECAS, 2010b)</w:t>
          </w:r>
          <w:r w:rsidR="0072146B" w:rsidRPr="00EB5CF0">
            <w:fldChar w:fldCharType="end"/>
          </w:r>
        </w:sdtContent>
      </w:sdt>
      <w:r w:rsidRPr="00EB5CF0">
        <w:rPr>
          <w:i/>
        </w:rPr>
        <w:t xml:space="preserve">, </w:t>
      </w:r>
      <w:r w:rsidRPr="00EB5CF0">
        <w:t xml:space="preserve">el objetivo fue formar maestros en Metodología de la Ciencia dedicados a la investigación de lo relativo a la ciencia, es decir, profesionistas especializados en el estudio, estructuración, y sistematización de diferentes métodos, sus implicaciones sociales y tecnológicas a partir del tratamiento desde la filosofía, historia, sociología y metodología de la ciencia; tanto en la investigación tecnológica y científica, para brindar apoyo necesario a las actividades de investigación, desarrollo tecnológico y docencia en el área específica de su competencia </w:t>
      </w:r>
      <w:sdt>
        <w:sdtPr>
          <w:id w:val="5893786"/>
          <w:citation/>
        </w:sdtPr>
        <w:sdtEndPr/>
        <w:sdtContent>
          <w:r w:rsidR="0072146B" w:rsidRPr="00EB5CF0">
            <w:fldChar w:fldCharType="begin"/>
          </w:r>
          <w:r w:rsidRPr="00EB5CF0">
            <w:instrText xml:space="preserve"> CITATION And06 \l 2058  \m Lóp06</w:instrText>
          </w:r>
          <w:r w:rsidR="0072146B" w:rsidRPr="00EB5CF0">
            <w:fldChar w:fldCharType="separate"/>
          </w:r>
          <w:r w:rsidRPr="00EB5CF0">
            <w:rPr>
              <w:noProof/>
            </w:rPr>
            <w:t>(Anda Gutiérrez, 2006; López Guardado, 2006)</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La sede del PESTyC fue la Unidad Profesional E</w:t>
      </w:r>
      <w:r w:rsidR="00111C53">
        <w:t>scuela Superior de Ingeniería Mecánica y Eléctrica (E</w:t>
      </w:r>
      <w:r w:rsidRPr="00EB5CF0">
        <w:t>SIME</w:t>
      </w:r>
      <w:r w:rsidR="00111C53">
        <w:t>)</w:t>
      </w:r>
      <w:r w:rsidRPr="00EB5CF0">
        <w:rPr>
          <w:rStyle w:val="Refdenotaalpie"/>
          <w:rFonts w:cs="Arial"/>
          <w:szCs w:val="24"/>
        </w:rPr>
        <w:footnoteReference w:id="8"/>
      </w:r>
      <w:r w:rsidRPr="00EB5CF0">
        <w:t xml:space="preserve"> de Culhuacán del IPN </w:t>
      </w:r>
      <w:sdt>
        <w:sdtPr>
          <w:id w:val="5893784"/>
          <w:citation/>
        </w:sdtPr>
        <w:sdtEndPr/>
        <w:sdtContent>
          <w:r w:rsidR="0072146B" w:rsidRPr="00EB5CF0">
            <w:fldChar w:fldCharType="begin"/>
          </w:r>
          <w:r w:rsidRPr="00EB5CF0">
            <w:instrText xml:space="preserve"> CITATION And06 \l 2058   \m Mon03 \m Mon96 \m Roj \m Con83</w:instrText>
          </w:r>
          <w:r w:rsidR="0072146B" w:rsidRPr="00EB5CF0">
            <w:fldChar w:fldCharType="separate"/>
          </w:r>
          <w:r w:rsidRPr="00EB5CF0">
            <w:rPr>
              <w:noProof/>
            </w:rPr>
            <w:t>(Anda Gutiérrez, 2006; Monteón, 2003; Montoya Fernández, 1996; Rojo Asenjo, s. a.; Sevilla Hernández, 1983)</w:t>
          </w:r>
          <w:r w:rsidR="0072146B" w:rsidRPr="00EB5CF0">
            <w:fldChar w:fldCharType="end"/>
          </w:r>
        </w:sdtContent>
      </w:sdt>
      <w:r w:rsidRPr="00EB5CF0">
        <w:t xml:space="preserve">. El hecho de que estuviera en el ESIME Culhuacán permitió que los profesores de esa escuela participaran activamente en el PESTyC, esta situación se ha repetido una y otra ocasión cada vez que el programa se instaura en alguna sede como se explicará más adelante cuando se instaló en el CIECAS. Los profesores de la ESIME Culhuacán tenían también una formación que influyó en el debate académico sobre la orientación de la maestría y la concepción que debía seguirse de la Metodología. Participaron el Dr. en Física Onofre Rojo de la </w:t>
      </w:r>
      <w:proofErr w:type="spellStart"/>
      <w:r w:rsidRPr="00EB5CF0">
        <w:t>Louisiana</w:t>
      </w:r>
      <w:proofErr w:type="spellEnd"/>
      <w:r w:rsidRPr="00EB5CF0">
        <w:t xml:space="preserve"> </w:t>
      </w:r>
      <w:proofErr w:type="spellStart"/>
      <w:r w:rsidRPr="00EB5CF0">
        <w:t>State</w:t>
      </w:r>
      <w:proofErr w:type="spellEnd"/>
      <w:r w:rsidRPr="00EB5CF0">
        <w:t xml:space="preserve"> </w:t>
      </w:r>
      <w:proofErr w:type="spellStart"/>
      <w:r w:rsidRPr="00EB5CF0">
        <w:t>University</w:t>
      </w:r>
      <w:proofErr w:type="spellEnd"/>
      <w:r w:rsidR="00F87F6D">
        <w:t>,</w:t>
      </w:r>
      <w:r w:rsidRPr="00EB5CF0">
        <w:t xml:space="preserve"> Sánchez Pozos, Alberto García, Guillermo </w:t>
      </w:r>
      <w:proofErr w:type="spellStart"/>
      <w:r w:rsidRPr="00EB5CF0">
        <w:t>Aullet</w:t>
      </w:r>
      <w:proofErr w:type="spellEnd"/>
      <w:r w:rsidRPr="00EB5CF0">
        <w:t xml:space="preserve">, por otro lado Dr. Humberto Monteón formado en la Facultad de Historia y Filosofía de la Universidad de los Pueblos Patricio </w:t>
      </w:r>
      <w:proofErr w:type="spellStart"/>
      <w:r w:rsidRPr="00EB5CF0">
        <w:t>Lumumba</w:t>
      </w:r>
      <w:proofErr w:type="spellEnd"/>
      <w:r w:rsidRPr="00EB5CF0">
        <w:t xml:space="preserve"> en la URSS como Mtro. </w:t>
      </w:r>
      <w:proofErr w:type="gramStart"/>
      <w:r w:rsidRPr="00EB5CF0">
        <w:t>en</w:t>
      </w:r>
      <w:proofErr w:type="gramEnd"/>
      <w:r w:rsidRPr="00EB5CF0">
        <w:t xml:space="preserve"> Ciencias Históricas y Dr. en Filosofía en la Historia y con tendencia marxista.</w:t>
      </w:r>
    </w:p>
    <w:p w:rsidR="00356E67" w:rsidRPr="00EB5CF0" w:rsidRDefault="00356E67" w:rsidP="00E16642"/>
    <w:p w:rsidR="00356E67" w:rsidRPr="00EB5CF0" w:rsidRDefault="00356E67" w:rsidP="00E16642">
      <w:r w:rsidRPr="00EB5CF0">
        <w:lastRenderedPageBreak/>
        <w:t>El Dr. Maksabedian no estuvo al mando del Proyecto por mucho tiempo</w:t>
      </w:r>
      <w:r w:rsidR="00ED6217">
        <w:t>,</w:t>
      </w:r>
      <w:r w:rsidRPr="00EB5CF0">
        <w:t xml:space="preserve"> </w:t>
      </w:r>
      <w:r w:rsidR="00AB32CA">
        <w:t>solo</w:t>
      </w:r>
      <w:r w:rsidRPr="00EB5CF0">
        <w:t xml:space="preserve"> en el periodo de </w:t>
      </w:r>
      <w:r w:rsidR="00111C53">
        <w:t xml:space="preserve">febrero de 1984 a diciembre de </w:t>
      </w:r>
      <w:r w:rsidRPr="00EB5CF0">
        <w:t>1985 (</w:t>
      </w:r>
      <w:r w:rsidRPr="00ED6217">
        <w:t>pues falleció</w:t>
      </w:r>
      <w:r w:rsidRPr="00EB5CF0">
        <w:t>)</w:t>
      </w:r>
      <w:r w:rsidR="00F87F6D">
        <w:t>;</w:t>
      </w:r>
      <w:r w:rsidRPr="00EB5CF0">
        <w:t xml:space="preserve"> aunque es considerado el padre del mismo y es por ello que algunos sugieren que su formación de ingeniero y la especialización en filosofía de la ciencia que tenía, dejó una herencia de conflicto que dio campo fértil al debate presente siempre en la Maestría. De </w:t>
      </w:r>
      <w:r w:rsidR="00111C53">
        <w:t xml:space="preserve">diciembre de 1985 a junio de </w:t>
      </w:r>
      <w:r w:rsidRPr="00EB5CF0">
        <w:t>1986, el Dr. Onofre Rojo fue quien se encar</w:t>
      </w:r>
      <w:r w:rsidR="00ED6217">
        <w:t>gó de la dirección aunque no</w:t>
      </w:r>
      <w:r w:rsidRPr="00EB5CF0">
        <w:t xml:space="preserve"> de manera oficial.</w:t>
      </w:r>
    </w:p>
    <w:p w:rsidR="00356E67" w:rsidRDefault="00356E67" w:rsidP="00E16642"/>
    <w:p w:rsidR="00111C53" w:rsidRDefault="00111C53" w:rsidP="00E16642">
      <w:r>
        <w:t>“El programa de estudios lo constituía la metodología dentro del marco conceptual de la Filosofía de la Ciencia, con énfasis en los métodos heurísticos, de comprobación y verificación, concluyendo con la comunicación del discurso real”</w:t>
      </w:r>
      <w:sdt>
        <w:sdtPr>
          <w:id w:val="5188893"/>
          <w:citation/>
        </w:sdtPr>
        <w:sdtEndPr/>
        <w:sdtContent>
          <w:r w:rsidR="00B20C48">
            <w:fldChar w:fldCharType="begin"/>
          </w:r>
          <w:r w:rsidR="00B20C48">
            <w:instrText xml:space="preserve"> CITATION Com03 \l 2058  </w:instrText>
          </w:r>
          <w:r w:rsidR="00B20C48">
            <w:fldChar w:fldCharType="separate"/>
          </w:r>
          <w:r w:rsidR="00BD29B1">
            <w:rPr>
              <w:noProof/>
            </w:rPr>
            <w:t xml:space="preserve"> </w:t>
          </w:r>
          <w:r w:rsidR="00BD29B1" w:rsidRPr="00BD29B1">
            <w:rPr>
              <w:noProof/>
            </w:rPr>
            <w:t>(Comisión del Colegio de Posgrado, 2003)</w:t>
          </w:r>
          <w:r w:rsidR="00B20C48">
            <w:rPr>
              <w:noProof/>
            </w:rPr>
            <w:fldChar w:fldCharType="end"/>
          </w:r>
        </w:sdtContent>
      </w:sdt>
      <w:r w:rsidR="00BD29B1">
        <w:t xml:space="preserve">. Puede hablarse de que la orientación que tenía el programa en ese tiempo estaba dirigida </w:t>
      </w:r>
      <w:r w:rsidR="00A2561A">
        <w:t xml:space="preserve">a la formación </w:t>
      </w:r>
      <w:proofErr w:type="spellStart"/>
      <w:r w:rsidR="00A2561A">
        <w:t>profesionalizante</w:t>
      </w:r>
      <w:proofErr w:type="spellEnd"/>
      <w:r w:rsidR="00A2561A">
        <w:t xml:space="preserve"> de los métodos de investigación en el contexto de ciencia unificada.</w:t>
      </w:r>
    </w:p>
    <w:p w:rsidR="00111C53" w:rsidRPr="00EB5CF0" w:rsidRDefault="00111C53" w:rsidP="00E16642"/>
    <w:p w:rsidR="00356E67" w:rsidRPr="00EB5CF0" w:rsidRDefault="00356E67" w:rsidP="00E16642">
      <w:r w:rsidRPr="00EB5CF0">
        <w:t xml:space="preserve">Tres años después de su instauración, durante la dirección del Ing. </w:t>
      </w:r>
      <w:proofErr w:type="spellStart"/>
      <w:r w:rsidRPr="00EB5CF0">
        <w:t>Elohim</w:t>
      </w:r>
      <w:proofErr w:type="spellEnd"/>
      <w:r w:rsidRPr="00EB5CF0">
        <w:t xml:space="preserve"> Jiménez y en la XVI sesión del Colegio de Profesores del PESTyC</w:t>
      </w:r>
      <w:r w:rsidRPr="00EB5CF0">
        <w:rPr>
          <w:rStyle w:val="Refdenotaalpie"/>
          <w:rFonts w:cs="Arial"/>
          <w:szCs w:val="24"/>
        </w:rPr>
        <w:footnoteReference w:id="9"/>
      </w:r>
      <w:sdt>
        <w:sdtPr>
          <w:rPr>
            <w:vertAlign w:val="superscript"/>
          </w:rPr>
          <w:id w:val="5814296"/>
          <w:citation/>
        </w:sdtPr>
        <w:sdtEndPr/>
        <w:sdtContent>
          <w:r w:rsidR="0072146B" w:rsidRPr="00EB5CF0">
            <w:fldChar w:fldCharType="begin"/>
          </w:r>
          <w:r w:rsidRPr="00EB5CF0">
            <w:instrText xml:space="preserve"> CITATION Colsa \n  \t  \l 2058  </w:instrText>
          </w:r>
          <w:r w:rsidR="0072146B" w:rsidRPr="00EB5CF0">
            <w:fldChar w:fldCharType="separate"/>
          </w:r>
          <w:r w:rsidRPr="00EB5CF0">
            <w:rPr>
              <w:noProof/>
            </w:rPr>
            <w:t xml:space="preserve"> (1986)</w:t>
          </w:r>
          <w:r w:rsidR="0072146B" w:rsidRPr="00EB5CF0">
            <w:fldChar w:fldCharType="end"/>
          </w:r>
        </w:sdtContent>
      </w:sdt>
      <w:r w:rsidRPr="00EB5CF0">
        <w:t xml:space="preserve"> aún se discutía el objetivo de la maestría, pues no se conocía  el proyecto original que fue apoyado por las autoridades del IPN en 1983 (o por lo menos varios integrantes del Colegio lo ignoraba), es decir, había desconocimiento de los objetivos que la Dirección General y la Coordinación del PESTyC tenían entonces. </w:t>
      </w:r>
    </w:p>
    <w:p w:rsidR="00356E67" w:rsidRPr="00EB5CF0" w:rsidRDefault="00356E67" w:rsidP="00E16642"/>
    <w:p w:rsidR="00356E67" w:rsidRPr="00EB5CF0" w:rsidRDefault="00356E67" w:rsidP="00E16642">
      <w:r w:rsidRPr="00EB5CF0">
        <w:t xml:space="preserve">El Colegio estaba formado por Guillermo </w:t>
      </w:r>
      <w:proofErr w:type="spellStart"/>
      <w:r w:rsidRPr="00EB5CF0">
        <w:t>Aullet</w:t>
      </w:r>
      <w:proofErr w:type="spellEnd"/>
      <w:r w:rsidRPr="00EB5CF0">
        <w:t xml:space="preserve">, Humberto </w:t>
      </w:r>
      <w:proofErr w:type="spellStart"/>
      <w:r w:rsidRPr="00EB5CF0">
        <w:t>Monteón</w:t>
      </w:r>
      <w:proofErr w:type="spellEnd"/>
      <w:r w:rsidRPr="00EB5CF0">
        <w:t xml:space="preserve"> y Onofre Rojo, quienes seguían desde el inicio del programa, además Xavier Gamboa Villafranca y Alfredo De la Lama que se incorporaron a la Maestría, entre todos ellos propusieron diversos objetivos de la Maestría </w:t>
      </w:r>
      <w:sdt>
        <w:sdtPr>
          <w:id w:val="5814298"/>
          <w:citation/>
        </w:sdtPr>
        <w:sdtEndPr/>
        <w:sdtContent>
          <w:r w:rsidR="0072146B" w:rsidRPr="00EB5CF0">
            <w:fldChar w:fldCharType="begin"/>
          </w:r>
          <w:r w:rsidRPr="00EB5CF0">
            <w:instrText xml:space="preserve"> CITATION Colsa \l 2058 </w:instrText>
          </w:r>
          <w:r w:rsidR="0072146B" w:rsidRPr="00EB5CF0">
            <w:fldChar w:fldCharType="separate"/>
          </w:r>
          <w:r w:rsidRPr="00EB5CF0">
            <w:rPr>
              <w:noProof/>
            </w:rPr>
            <w:t>(Colegio de Profesores del PESTyC, 1986)</w:t>
          </w:r>
          <w:r w:rsidR="0072146B" w:rsidRPr="00EB5CF0">
            <w:fldChar w:fldCharType="end"/>
          </w:r>
        </w:sdtContent>
      </w:sdt>
      <w:r w:rsidRPr="00EB5CF0">
        <w:t>:</w:t>
      </w:r>
    </w:p>
    <w:p w:rsidR="00356E67" w:rsidRPr="00EB5CF0" w:rsidRDefault="00356E67" w:rsidP="00E16642"/>
    <w:p w:rsidR="00356E67" w:rsidRPr="00ED6217" w:rsidRDefault="00356E67" w:rsidP="00E16642">
      <w:pPr>
        <w:pStyle w:val="Prrafodelista"/>
        <w:numPr>
          <w:ilvl w:val="0"/>
          <w:numId w:val="17"/>
        </w:numPr>
        <w:rPr>
          <w:sz w:val="22"/>
        </w:rPr>
      </w:pPr>
      <w:r w:rsidRPr="00ED6217">
        <w:rPr>
          <w:sz w:val="22"/>
        </w:rPr>
        <w:lastRenderedPageBreak/>
        <w:t>El PESTyC debe ser el centro de consulta para la industria.</w:t>
      </w:r>
    </w:p>
    <w:p w:rsidR="00356E67" w:rsidRPr="00ED6217" w:rsidRDefault="00356E67" w:rsidP="00E16642">
      <w:pPr>
        <w:pStyle w:val="Prrafodelista"/>
        <w:numPr>
          <w:ilvl w:val="0"/>
          <w:numId w:val="17"/>
        </w:numPr>
        <w:rPr>
          <w:sz w:val="22"/>
        </w:rPr>
      </w:pPr>
      <w:r w:rsidRPr="00ED6217">
        <w:rPr>
          <w:sz w:val="22"/>
        </w:rPr>
        <w:t>El PESTyC debe consolidarse como un centro de metodología al servicio del IPN.</w:t>
      </w:r>
    </w:p>
    <w:p w:rsidR="00356E67" w:rsidRPr="00ED6217" w:rsidRDefault="00356E67" w:rsidP="00E16642">
      <w:pPr>
        <w:pStyle w:val="Prrafodelista"/>
        <w:numPr>
          <w:ilvl w:val="0"/>
          <w:numId w:val="17"/>
        </w:numPr>
        <w:rPr>
          <w:sz w:val="22"/>
        </w:rPr>
      </w:pPr>
      <w:r w:rsidRPr="00ED6217">
        <w:rPr>
          <w:sz w:val="22"/>
        </w:rPr>
        <w:t>El PESTyC debe contribuir a la formación de ingenieros para la sociedad, es decir, ingenieros que acerquen la técnica al humanismo.</w:t>
      </w:r>
    </w:p>
    <w:p w:rsidR="00356E67" w:rsidRPr="00ED6217" w:rsidRDefault="00356E67" w:rsidP="00E16642">
      <w:pPr>
        <w:pStyle w:val="Prrafodelista"/>
        <w:numPr>
          <w:ilvl w:val="0"/>
          <w:numId w:val="17"/>
        </w:numPr>
        <w:rPr>
          <w:sz w:val="22"/>
        </w:rPr>
      </w:pPr>
      <w:r w:rsidRPr="00ED6217">
        <w:rPr>
          <w:sz w:val="22"/>
        </w:rPr>
        <w:t>El principal propósito debe ser la formación de investigadores que relacionen teoría y práctica.</w:t>
      </w:r>
    </w:p>
    <w:p w:rsidR="00356E67" w:rsidRPr="00ED6217" w:rsidRDefault="00356E67" w:rsidP="00E16642">
      <w:pPr>
        <w:pStyle w:val="Prrafodelista"/>
        <w:numPr>
          <w:ilvl w:val="0"/>
          <w:numId w:val="17"/>
        </w:numPr>
        <w:rPr>
          <w:sz w:val="22"/>
        </w:rPr>
      </w:pPr>
      <w:r w:rsidRPr="00ED6217">
        <w:rPr>
          <w:sz w:val="22"/>
        </w:rPr>
        <w:t>El PESTyC debe contribuir al desarrollo tecnológico en múltiples aspectos de la producción.</w:t>
      </w:r>
    </w:p>
    <w:p w:rsidR="00356E67" w:rsidRPr="00ED6217" w:rsidRDefault="00356E67" w:rsidP="00E16642">
      <w:pPr>
        <w:pStyle w:val="Prrafodelista"/>
        <w:numPr>
          <w:ilvl w:val="0"/>
          <w:numId w:val="17"/>
        </w:numPr>
        <w:rPr>
          <w:sz w:val="22"/>
        </w:rPr>
      </w:pPr>
      <w:r w:rsidRPr="00ED6217">
        <w:rPr>
          <w:sz w:val="22"/>
        </w:rPr>
        <w:t>Un objetivo permanente es el mejoramiento del trabajo del investigador.</w:t>
      </w:r>
    </w:p>
    <w:p w:rsidR="00356E67" w:rsidRPr="00EB5CF0" w:rsidRDefault="00356E67" w:rsidP="00E16642"/>
    <w:p w:rsidR="00356E67" w:rsidRPr="00EB5CF0" w:rsidRDefault="00356E67" w:rsidP="00E16642">
      <w:r w:rsidRPr="00EB5CF0">
        <w:t>Puede notarse una clara orientación profesionalizante pues se habla de un trabajo de apoyo a los investigadores para el desarrollo n</w:t>
      </w:r>
      <w:r w:rsidR="00F87F6D">
        <w:t>acional, industrial, productivo y del empleo o desarrollo de métodos de investigación.</w:t>
      </w:r>
    </w:p>
    <w:p w:rsidR="00356E67" w:rsidRPr="00EB5CF0" w:rsidRDefault="00356E67" w:rsidP="00E16642"/>
    <w:p w:rsidR="00356E67" w:rsidRPr="00EB5CF0" w:rsidRDefault="00356E67" w:rsidP="00E16642">
      <w:r w:rsidRPr="00EB5CF0">
        <w:t xml:space="preserve">En el papel de director el Ing. </w:t>
      </w:r>
      <w:proofErr w:type="spellStart"/>
      <w:r w:rsidRPr="00EB5CF0">
        <w:t>Elohim</w:t>
      </w:r>
      <w:proofErr w:type="spellEnd"/>
      <w:r w:rsidRPr="00EB5CF0">
        <w:t xml:space="preserve"> Jiménez, amalgamando los puntos de vista de los participantes, manifestó los lineamientos que guiarían al PESTyC</w:t>
      </w:r>
      <w:sdt>
        <w:sdtPr>
          <w:id w:val="5814299"/>
          <w:citation/>
        </w:sdtPr>
        <w:sdtEndPr/>
        <w:sdtContent>
          <w:r w:rsidR="0072146B" w:rsidRPr="00EB5CF0">
            <w:fldChar w:fldCharType="begin"/>
          </w:r>
          <w:r w:rsidRPr="00EB5CF0">
            <w:instrText xml:space="preserve"> CITATION Colsa \l 2058 </w:instrText>
          </w:r>
          <w:r w:rsidR="0072146B" w:rsidRPr="00EB5CF0">
            <w:fldChar w:fldCharType="separate"/>
          </w:r>
          <w:r w:rsidRPr="00EB5CF0">
            <w:rPr>
              <w:noProof/>
            </w:rPr>
            <w:t xml:space="preserve"> (Colegio de Profesores del PESTyC, 1986)</w:t>
          </w:r>
          <w:r w:rsidR="0072146B" w:rsidRPr="00EB5CF0">
            <w:fldChar w:fldCharType="end"/>
          </w:r>
        </w:sdtContent>
      </w:sdt>
      <w:r w:rsidRPr="00EB5CF0">
        <w:t xml:space="preserve"> entre los que destacan: el estar al servicio de toda la comunidad politécnica, contribuyendo a la mejora del proceso educativo de los técnicos a nivel superior a partir del conocimiento científico y el apoyo tecnológico; además organizar el trabajo de manera interdisciplinaria dentro del IPN, sin embargo, esta declaración no definía claramente la orientación del programa y al parecer el criterio que dirigía el enfoque que tomaría la maestría era el de metodología de la investigación, es decir, de los procesos o protocolos para llevar a cabo un trabajo de investigación, no una reflexión sobre el avance de la ciencia, es decir, la metodología de la ciencia. Esta indefinición llevó a cuestionar la existencia del PESTyC (Rojo en </w:t>
      </w:r>
      <w:r w:rsidRPr="00EB5CF0">
        <w:rPr>
          <w:noProof/>
        </w:rPr>
        <w:t>Montoya Fernández, 1996)</w:t>
      </w:r>
      <w:r w:rsidRPr="00EB5CF0">
        <w:t xml:space="preserve"> y en el periodo 1986-1988 se interrumpió el ingreso de nuevos alumnos, reanudado en 1989.</w:t>
      </w:r>
      <w:r w:rsidR="00BD29B1">
        <w:t xml:space="preserve"> Mientras</w:t>
      </w:r>
      <w:r w:rsidR="00F87F6D">
        <w:t>,</w:t>
      </w:r>
      <w:r w:rsidR="00BD29B1">
        <w:t xml:space="preserve"> a los alumnos que estaban inscritos en semestres superiores se les  intentó reorientar a los nuevos enfoques y objetivos</w:t>
      </w:r>
      <w:sdt>
        <w:sdtPr>
          <w:id w:val="5188896"/>
          <w:citation/>
        </w:sdtPr>
        <w:sdtEndPr/>
        <w:sdtContent>
          <w:r w:rsidR="00B20C48">
            <w:fldChar w:fldCharType="begin"/>
          </w:r>
          <w:r w:rsidR="00B20C48">
            <w:instrText xml:space="preserve"> CITATION Com03 \l 2058 </w:instrText>
          </w:r>
          <w:r w:rsidR="00B20C48">
            <w:fldChar w:fldCharType="separate"/>
          </w:r>
          <w:r w:rsidR="00BD29B1">
            <w:rPr>
              <w:noProof/>
            </w:rPr>
            <w:t xml:space="preserve"> </w:t>
          </w:r>
          <w:r w:rsidR="00BD29B1" w:rsidRPr="00BD29B1">
            <w:rPr>
              <w:noProof/>
            </w:rPr>
            <w:t>(Comisión del Colegio de Posgrado, 2003)</w:t>
          </w:r>
          <w:r w:rsidR="00B20C48">
            <w:rPr>
              <w:noProof/>
            </w:rPr>
            <w:fldChar w:fldCharType="end"/>
          </w:r>
        </w:sdtContent>
      </w:sdt>
      <w:r w:rsidR="00BD29B1">
        <w:t>.</w:t>
      </w:r>
      <w:r w:rsidRPr="00EB5CF0">
        <w:t xml:space="preserve"> </w:t>
      </w:r>
    </w:p>
    <w:p w:rsidR="00356E67" w:rsidRPr="00EB5CF0" w:rsidRDefault="00356E67" w:rsidP="00E16642"/>
    <w:p w:rsidR="00356E67" w:rsidRPr="00EB5CF0" w:rsidRDefault="00356E67" w:rsidP="00E16642">
      <w:r w:rsidRPr="00EB5CF0">
        <w:lastRenderedPageBreak/>
        <w:t xml:space="preserve">Con su reapertura en 1989 y con Luis Fernando Castillo García como director en el periodo de </w:t>
      </w:r>
      <w:r w:rsidR="00BD29B1">
        <w:t xml:space="preserve">octubre de 1989 a noviembre de </w:t>
      </w:r>
      <w:r w:rsidRPr="00EB5CF0">
        <w:t xml:space="preserve">1993, se dio una dirección más precisa a la MCMC hacia la metodología de la investigación. Por ejemplo: se creó la serie ‘Claro... Obscuro’ que abordaba “la carencia de métodos” </w:t>
      </w:r>
      <w:sdt>
        <w:sdtPr>
          <w:id w:val="2601005"/>
          <w:citation/>
        </w:sdtPr>
        <w:sdtEndPr/>
        <w:sdtContent>
          <w:r w:rsidR="0072146B" w:rsidRPr="00EB5CF0">
            <w:fldChar w:fldCharType="begin"/>
          </w:r>
          <w:r w:rsidRPr="00EB5CF0">
            <w:instrText xml:space="preserve"> CITATION Gam92 \t  \l 2058  </w:instrText>
          </w:r>
          <w:r w:rsidR="0072146B" w:rsidRPr="00EB5CF0">
            <w:fldChar w:fldCharType="separate"/>
          </w:r>
          <w:r w:rsidRPr="00EB5CF0">
            <w:rPr>
              <w:noProof/>
            </w:rPr>
            <w:t>(Gamboa Villafranca, 1992)</w:t>
          </w:r>
          <w:r w:rsidR="0072146B" w:rsidRPr="00EB5CF0">
            <w:fldChar w:fldCharType="end"/>
          </w:r>
        </w:sdtContent>
      </w:sdt>
      <w:r w:rsidRPr="00EB5CF0">
        <w:t xml:space="preserve"> de diversas áreas del IPN; es decir,</w:t>
      </w:r>
      <w:r w:rsidR="00F87F6D">
        <w:t xml:space="preserve"> de los</w:t>
      </w:r>
      <w:r w:rsidRPr="00EB5CF0">
        <w:t xml:space="preserve"> procesos que se deben seguir y que</w:t>
      </w:r>
      <w:r w:rsidR="00F87F6D">
        <w:t xml:space="preserve"> ya deberían estar establecidos por cada una de las disciplinas en las que se inscriben las investigaciones.</w:t>
      </w:r>
      <w:r w:rsidRPr="00EB5CF0">
        <w:t xml:space="preserve"> </w:t>
      </w:r>
    </w:p>
    <w:p w:rsidR="00356E67" w:rsidRPr="00EB5CF0" w:rsidRDefault="00356E67" w:rsidP="00E16642"/>
    <w:p w:rsidR="00356E67" w:rsidRPr="00EB5CF0" w:rsidRDefault="00356E67" w:rsidP="00E16642">
      <w:r w:rsidRPr="00EB5CF0">
        <w:t xml:space="preserve">Gamboa Villafranca </w:t>
      </w:r>
      <w:sdt>
        <w:sdtPr>
          <w:id w:val="5635659"/>
          <w:citation/>
        </w:sdtPr>
        <w:sdtEndPr/>
        <w:sdtContent>
          <w:r w:rsidR="0072146B" w:rsidRPr="00EB5CF0">
            <w:fldChar w:fldCharType="begin"/>
          </w:r>
          <w:r w:rsidRPr="00EB5CF0">
            <w:instrText xml:space="preserve"> CITATION Gam92 \n  \t  \l 2058  </w:instrText>
          </w:r>
          <w:r w:rsidR="0072146B" w:rsidRPr="00EB5CF0">
            <w:fldChar w:fldCharType="separate"/>
          </w:r>
          <w:r w:rsidRPr="00EB5CF0">
            <w:rPr>
              <w:noProof/>
            </w:rPr>
            <w:t>(1992)</w:t>
          </w:r>
          <w:r w:rsidR="0072146B" w:rsidRPr="00EB5CF0">
            <w:fldChar w:fldCharType="end"/>
          </w:r>
        </w:sdtContent>
      </w:sdt>
      <w:r w:rsidRPr="00EB5CF0">
        <w:t xml:space="preserve"> en la presentación de la serie (‘Claro…Obscuro’) indicaba que este nuevo producto sería el enlace con diferentes comunidades académicas, es decir, se esperaba la participación del programa de MCMC con diversas instituciones, Gamboa </w:t>
      </w:r>
      <w:sdt>
        <w:sdtPr>
          <w:id w:val="2601007"/>
          <w:citation/>
        </w:sdtPr>
        <w:sdtEndPr/>
        <w:sdtContent>
          <w:r w:rsidR="0072146B" w:rsidRPr="00EB5CF0">
            <w:fldChar w:fldCharType="begin"/>
          </w:r>
          <w:r w:rsidRPr="00EB5CF0">
            <w:instrText xml:space="preserve"> CITATION Gam902 \n  \t  \l 2058  </w:instrText>
          </w:r>
          <w:r w:rsidR="0072146B" w:rsidRPr="00EB5CF0">
            <w:fldChar w:fldCharType="separate"/>
          </w:r>
          <w:r w:rsidRPr="00EB5CF0">
            <w:rPr>
              <w:noProof/>
            </w:rPr>
            <w:t>(1990)</w:t>
          </w:r>
          <w:r w:rsidR="0072146B" w:rsidRPr="00EB5CF0">
            <w:fldChar w:fldCharType="end"/>
          </w:r>
        </w:sdtContent>
      </w:sdt>
      <w:r w:rsidRPr="00EB5CF0">
        <w:t xml:space="preserve"> escribió: “el PESTyC-IPN, su Maestría en Metodología de la Ciencia</w:t>
      </w:r>
      <w:r w:rsidR="00F87F6D">
        <w:t>,</w:t>
      </w:r>
      <w:r w:rsidRPr="00EB5CF0">
        <w:t xml:space="preserve"> empieza a vivir una nueva época. Menos contemplativa, sin abandonar algunas de sus más relevantes características de origen, ahora ya se encuentra empeñada en el desarrollo de métodos específicos para fortalecer la planta productiva del país”. Un ejemplo de lo anterior era el proyecto: “Metodología para la apropiación social de tecnologías ecológicas politécnicas: El caso de asentamientos populares en zonas </w:t>
      </w:r>
      <w:proofErr w:type="spellStart"/>
      <w:r w:rsidRPr="00EB5CF0">
        <w:t>semi</w:t>
      </w:r>
      <w:proofErr w:type="spellEnd"/>
      <w:r w:rsidRPr="00EB5CF0">
        <w:t>-urbanas de los Altos de Morelos” que dirigía el mismo Gamboa.</w:t>
      </w:r>
    </w:p>
    <w:p w:rsidR="00356E67" w:rsidRPr="00EB5CF0" w:rsidRDefault="00356E67" w:rsidP="00E16642"/>
    <w:p w:rsidR="00356E67" w:rsidRPr="00EB5CF0" w:rsidRDefault="00356E67" w:rsidP="00E16642">
      <w:r w:rsidRPr="00EB5CF0">
        <w:t xml:space="preserve">En 1991 el programa fue incluido en el Padrón de Excelencia del CONACyT </w:t>
      </w:r>
      <w:sdt>
        <w:sdtPr>
          <w:id w:val="5814307"/>
          <w:citation/>
        </w:sdtPr>
        <w:sdtEndPr/>
        <w:sdtContent>
          <w:r w:rsidR="0072146B" w:rsidRPr="00EB5CF0">
            <w:fldChar w:fldCharType="begin"/>
          </w:r>
          <w:r w:rsidRPr="00EB5CF0">
            <w:instrText xml:space="preserve"> CITATION Cas \t  \l 2058  </w:instrText>
          </w:r>
          <w:r w:rsidR="0072146B" w:rsidRPr="00EB5CF0">
            <w:fldChar w:fldCharType="separate"/>
          </w:r>
          <w:r w:rsidRPr="00EB5CF0">
            <w:rPr>
              <w:noProof/>
            </w:rPr>
            <w:t>(Castillo García, Manrique Nava, &amp; Gamboa Villafranca, 1995)</w:t>
          </w:r>
          <w:r w:rsidR="0072146B" w:rsidRPr="00EB5CF0">
            <w:fldChar w:fldCharType="end"/>
          </w:r>
        </w:sdtContent>
      </w:sdt>
      <w:r w:rsidRPr="00EB5CF0">
        <w:t xml:space="preserve">, a pesar de ello, dentro del mismo PESTyC siguieron las discusiones para delimitar la pertinencia y objetivos de la Maestría, quizá porque no se tomaba en cuenta el estudio del avance de la ciencia sino que se </w:t>
      </w:r>
      <w:r w:rsidR="00ED6217">
        <w:t>enfocaba</w:t>
      </w:r>
      <w:r w:rsidRPr="00EB5CF0">
        <w:t xml:space="preserve"> a la dirección de investigaciones. En 1992, como anteriormente había sucedido, se tenían diferentes posturas sobre el perfil de la maestría, participaron en el debate, al igual que en la apertura del </w:t>
      </w:r>
      <w:proofErr w:type="spellStart"/>
      <w:r w:rsidRPr="00EB5CF0">
        <w:t>PESTyC</w:t>
      </w:r>
      <w:proofErr w:type="spellEnd"/>
      <w:r w:rsidR="00ED6217">
        <w:t>,</w:t>
      </w:r>
      <w:r w:rsidRPr="00EB5CF0">
        <w:t xml:space="preserve"> Guillermo </w:t>
      </w:r>
      <w:proofErr w:type="spellStart"/>
      <w:r w:rsidRPr="00EB5CF0">
        <w:t>Aullet</w:t>
      </w:r>
      <w:proofErr w:type="spellEnd"/>
      <w:r w:rsidRPr="00EB5CF0">
        <w:t>, Onofre Rojo y Humberto Monteón, y continuaba también Xavier Gamboa Villafranca,</w:t>
      </w:r>
      <w:r w:rsidR="00ED6217">
        <w:t xml:space="preserve"> además,</w:t>
      </w:r>
      <w:r w:rsidRPr="00EB5CF0">
        <w:t xml:space="preserve"> se integraron Luis Fernando Castillo García, Ángel Vargas, Esperanza Verduzco, Ruth Guerrero y Adalberto Ojeda. Por un lado, el Dr. Onofre Rojo proponía seguir los estatutos del manual de la URSS y </w:t>
      </w:r>
      <w:r w:rsidRPr="00EB5CF0">
        <w:lastRenderedPageBreak/>
        <w:t xml:space="preserve">de Cuba para entender qué debía tomarse como metodología, por el otro, el grupo encabezado por Xavier Gamboa y Luis Fernando Castillo García, pugnaban por el </w:t>
      </w:r>
      <w:r w:rsidRPr="00EB5CF0">
        <w:rPr>
          <w:lang w:val="es-ES_tradnl"/>
        </w:rPr>
        <w:t>estudio sistemático de la generación científica y tecnológica para cuestiones de aplicación de la tecnología</w:t>
      </w:r>
      <w:sdt>
        <w:sdtPr>
          <w:id w:val="5814312"/>
          <w:citation/>
        </w:sdtPr>
        <w:sdtEndPr/>
        <w:sdtContent>
          <w:r w:rsidR="0072146B" w:rsidRPr="00EB5CF0">
            <w:fldChar w:fldCharType="begin"/>
          </w:r>
          <w:r w:rsidRPr="00EB5CF0">
            <w:instrText xml:space="preserve"> CITATION Per92 \t  \l 2058  </w:instrText>
          </w:r>
          <w:r w:rsidR="0072146B" w:rsidRPr="00EB5CF0">
            <w:fldChar w:fldCharType="separate"/>
          </w:r>
          <w:r w:rsidRPr="00EB5CF0">
            <w:rPr>
              <w:noProof/>
            </w:rPr>
            <w:t xml:space="preserve"> (Personal Académico de Metodología de la Ciencia, PESTyC, 1992)</w:t>
          </w:r>
          <w:r w:rsidR="0072146B" w:rsidRPr="00EB5CF0">
            <w:fldChar w:fldCharType="end"/>
          </w:r>
        </w:sdtContent>
      </w:sdt>
      <w:r w:rsidRPr="00EB5CF0">
        <w:t xml:space="preserve">. Otro punto que aún no podía aclararse fue el perfil de egreso, cuestión abordada por Humberto Monteón y Esperanza Verduzco quienes sugirieron debía emparejarse a la primera necesidad que abrió el centro: la formación de docentes de quinto y sexto semestre de los </w:t>
      </w:r>
      <w:proofErr w:type="spellStart"/>
      <w:r w:rsidRPr="00EB5CF0">
        <w:t>CECyTS</w:t>
      </w:r>
      <w:proofErr w:type="spellEnd"/>
      <w:r w:rsidRPr="00EB5CF0">
        <w:t>.</w:t>
      </w:r>
    </w:p>
    <w:p w:rsidR="00356E67" w:rsidRPr="00EB5CF0" w:rsidRDefault="00356E67" w:rsidP="00E16642"/>
    <w:p w:rsidR="00356E67" w:rsidRPr="00EB5CF0" w:rsidRDefault="00356E67" w:rsidP="00E16642">
      <w:r w:rsidRPr="00EB5CF0">
        <w:t>Se aceptó, a reserva de una posible ampliación, la propuesta sobre el objetivo de la maestría del Mtro. Vargas, con modificaciones en cuanto al perfil indicadas por el Dr. Gamboa y la Mtra. Verduzco, quedando</w:t>
      </w:r>
      <w:sdt>
        <w:sdtPr>
          <w:id w:val="5814320"/>
          <w:citation/>
        </w:sdtPr>
        <w:sdtEndPr/>
        <w:sdtContent>
          <w:r w:rsidR="0072146B" w:rsidRPr="00EB5CF0">
            <w:fldChar w:fldCharType="begin"/>
          </w:r>
          <w:r w:rsidRPr="00EB5CF0">
            <w:instrText xml:space="preserve"> CITATION Per92 \l 2058 </w:instrText>
          </w:r>
          <w:r w:rsidR="0072146B" w:rsidRPr="00EB5CF0">
            <w:fldChar w:fldCharType="separate"/>
          </w:r>
          <w:r w:rsidRPr="00EB5CF0">
            <w:rPr>
              <w:noProof/>
            </w:rPr>
            <w:t xml:space="preserve"> (Personal Académico de Metodología de la Ciencia, PESTyC, 1992)</w:t>
          </w:r>
          <w:r w:rsidR="0072146B" w:rsidRPr="00EB5CF0">
            <w:fldChar w:fldCharType="end"/>
          </w:r>
        </w:sdtContent>
      </w:sdt>
      <w:r w:rsidRPr="00EB5CF0">
        <w:t>:</w:t>
      </w:r>
    </w:p>
    <w:p w:rsidR="00356E67" w:rsidRPr="00EB5CF0" w:rsidRDefault="00356E67" w:rsidP="00E16642"/>
    <w:p w:rsidR="00356E67" w:rsidRPr="00ED6217" w:rsidRDefault="00356E67" w:rsidP="00E16642">
      <w:pPr>
        <w:ind w:left="708" w:right="758"/>
        <w:rPr>
          <w:sz w:val="22"/>
        </w:rPr>
      </w:pPr>
      <w:r w:rsidRPr="00ED6217">
        <w:rPr>
          <w:sz w:val="22"/>
        </w:rPr>
        <w:t xml:space="preserve">Objetivo: Formar profesionistas especializados en el estudio, sistematización y difusión de métodos y procedimientos que se emplean en la investigación científica, para que brinden el apoyo necesario a las actividades de investigación, desarrollo tecnológico y docencia en su área específica, y a la </w:t>
      </w:r>
      <w:proofErr w:type="spellStart"/>
      <w:r w:rsidRPr="00ED6217">
        <w:rPr>
          <w:sz w:val="22"/>
        </w:rPr>
        <w:t>analogación</w:t>
      </w:r>
      <w:proofErr w:type="spellEnd"/>
      <w:r w:rsidRPr="00ED6217">
        <w:rPr>
          <w:sz w:val="22"/>
        </w:rPr>
        <w:t xml:space="preserve"> y adecuación de los métodos empleados en otras áreas.</w:t>
      </w:r>
    </w:p>
    <w:p w:rsidR="00356E67" w:rsidRPr="00EB5CF0" w:rsidRDefault="00356E67" w:rsidP="00E16642"/>
    <w:p w:rsidR="00356E67" w:rsidRPr="00EB5CF0" w:rsidRDefault="00356E67" w:rsidP="00E16642">
      <w:r w:rsidRPr="00EB5CF0">
        <w:t>Este objetivo coloca al programa en la orientación profesionalizante porque el objeto de conocimiento es la investigación científica y no la ciencia como tal, además de que perfila al egresado a ser un soporte o andamio de los investigadores. Esto se explica con las actividades que se postularon podría desarrollar tanto a nivel individual (las primeras) y a mane</w:t>
      </w:r>
      <w:r w:rsidR="00ED6217">
        <w:t>ra de dirección (las segundas).</w:t>
      </w:r>
    </w:p>
    <w:p w:rsidR="00356E67" w:rsidRPr="00EB5CF0" w:rsidRDefault="00356E67" w:rsidP="00E16642"/>
    <w:p w:rsidR="00356E67" w:rsidRPr="00EB5CF0" w:rsidRDefault="00356E67" w:rsidP="00E16642">
      <w:r w:rsidRPr="00EB5CF0">
        <w:t>Actividades de desarrollo individual:</w:t>
      </w:r>
    </w:p>
    <w:p w:rsidR="00356E67" w:rsidRPr="00ED6217" w:rsidRDefault="00356E67" w:rsidP="00E16642">
      <w:pPr>
        <w:pStyle w:val="Prrafodelista"/>
        <w:numPr>
          <w:ilvl w:val="0"/>
          <w:numId w:val="18"/>
        </w:numPr>
        <w:ind w:right="758"/>
        <w:rPr>
          <w:sz w:val="22"/>
        </w:rPr>
      </w:pPr>
      <w:r w:rsidRPr="00ED6217">
        <w:rPr>
          <w:sz w:val="22"/>
        </w:rPr>
        <w:t xml:space="preserve">aplicar a sus actividades específicas de investigación, docencia y desarrollo tecnológico, los resultados del estudio, sistematización y </w:t>
      </w:r>
      <w:r w:rsidRPr="00ED6217">
        <w:rPr>
          <w:sz w:val="22"/>
        </w:rPr>
        <w:lastRenderedPageBreak/>
        <w:t xml:space="preserve">difusión de los métodos y procedimientos para planear conjuntos de proyectos de ciencia y tecnología; </w:t>
      </w:r>
    </w:p>
    <w:p w:rsidR="00356E67" w:rsidRPr="00ED6217" w:rsidRDefault="00356E67" w:rsidP="00E16642">
      <w:pPr>
        <w:pStyle w:val="Prrafodelista"/>
        <w:numPr>
          <w:ilvl w:val="0"/>
          <w:numId w:val="18"/>
        </w:numPr>
        <w:ind w:right="758"/>
        <w:rPr>
          <w:sz w:val="22"/>
        </w:rPr>
      </w:pPr>
      <w:r w:rsidRPr="00ED6217">
        <w:rPr>
          <w:sz w:val="22"/>
        </w:rPr>
        <w:t xml:space="preserve">desarrollar métodos específicos de ciencia y tecnología; </w:t>
      </w:r>
    </w:p>
    <w:p w:rsidR="00356E67" w:rsidRPr="00ED6217" w:rsidRDefault="00356E67" w:rsidP="00E16642">
      <w:pPr>
        <w:pStyle w:val="Prrafodelista"/>
        <w:numPr>
          <w:ilvl w:val="0"/>
          <w:numId w:val="18"/>
        </w:numPr>
        <w:ind w:right="758"/>
        <w:rPr>
          <w:sz w:val="22"/>
        </w:rPr>
      </w:pPr>
      <w:r w:rsidRPr="00ED6217">
        <w:rPr>
          <w:sz w:val="22"/>
        </w:rPr>
        <w:t xml:space="preserve">aplicar los métodos generales de investigación científica para obtener rigor en sus trabajos de investigación y en la exposición de sus resultados; realizar análisis crítico sobre la consistencia metodológica de los trabajos científicos y resultados de investigación; </w:t>
      </w:r>
    </w:p>
    <w:p w:rsidR="00356E67" w:rsidRPr="00ED6217" w:rsidRDefault="00356E67" w:rsidP="00E16642">
      <w:pPr>
        <w:pStyle w:val="Prrafodelista"/>
        <w:numPr>
          <w:ilvl w:val="0"/>
          <w:numId w:val="18"/>
        </w:numPr>
        <w:ind w:right="758"/>
        <w:rPr>
          <w:sz w:val="22"/>
        </w:rPr>
      </w:pPr>
      <w:r w:rsidRPr="00ED6217">
        <w:rPr>
          <w:sz w:val="22"/>
        </w:rPr>
        <w:t>establecer nuevos procedimientos.</w:t>
      </w:r>
    </w:p>
    <w:p w:rsidR="00356E67" w:rsidRPr="00EB5CF0" w:rsidRDefault="00356E67" w:rsidP="00E16642"/>
    <w:p w:rsidR="00356E67" w:rsidRPr="00EB5CF0" w:rsidRDefault="00356E67" w:rsidP="00E16642">
      <w:r w:rsidRPr="00EB5CF0">
        <w:t>Actividades de dirección:</w:t>
      </w:r>
    </w:p>
    <w:p w:rsidR="00356E67" w:rsidRPr="00ED6217" w:rsidRDefault="00356E67" w:rsidP="00E16642">
      <w:pPr>
        <w:pStyle w:val="Prrafodelista"/>
        <w:numPr>
          <w:ilvl w:val="0"/>
          <w:numId w:val="19"/>
        </w:numPr>
        <w:ind w:right="758"/>
        <w:rPr>
          <w:sz w:val="22"/>
        </w:rPr>
      </w:pPr>
      <w:r w:rsidRPr="00ED6217">
        <w:rPr>
          <w:sz w:val="22"/>
        </w:rPr>
        <w:t xml:space="preserve">responsabilizarse integralmente de proyectos de investigación científica y tecnológica; </w:t>
      </w:r>
    </w:p>
    <w:p w:rsidR="00356E67" w:rsidRPr="00ED6217" w:rsidRDefault="00356E67" w:rsidP="00E16642">
      <w:pPr>
        <w:pStyle w:val="Prrafodelista"/>
        <w:numPr>
          <w:ilvl w:val="0"/>
          <w:numId w:val="19"/>
        </w:numPr>
        <w:ind w:right="758"/>
        <w:rPr>
          <w:sz w:val="22"/>
        </w:rPr>
      </w:pPr>
      <w:r w:rsidRPr="00ED6217">
        <w:rPr>
          <w:sz w:val="22"/>
        </w:rPr>
        <w:t xml:space="preserve">asesorar procesos científico-tecnológicos en la dimensión de sus métodos, técnicas y procedimientos; </w:t>
      </w:r>
    </w:p>
    <w:p w:rsidR="00356E67" w:rsidRPr="00ED6217" w:rsidRDefault="00356E67" w:rsidP="00E16642">
      <w:pPr>
        <w:pStyle w:val="Prrafodelista"/>
        <w:numPr>
          <w:ilvl w:val="0"/>
          <w:numId w:val="19"/>
        </w:numPr>
        <w:ind w:right="758"/>
        <w:rPr>
          <w:sz w:val="22"/>
        </w:rPr>
      </w:pPr>
      <w:r w:rsidRPr="00ED6217">
        <w:rPr>
          <w:sz w:val="22"/>
        </w:rPr>
        <w:t>formar recursos humanos para el manejo de la componente metodológica en proyectos y en conjuntos de investigaciones de ciencia y tecnología.</w:t>
      </w:r>
    </w:p>
    <w:p w:rsidR="00356E67" w:rsidRPr="00EB5CF0" w:rsidRDefault="00356E67" w:rsidP="00E16642"/>
    <w:p w:rsidR="00356E67" w:rsidRPr="00EB5CF0" w:rsidRDefault="00356E67" w:rsidP="00E16642">
      <w:r w:rsidRPr="00EB5CF0">
        <w:t>Aún con esos criterios (de orientación profesionalizante</w:t>
      </w:r>
      <w:r w:rsidR="00F87F6D">
        <w:t xml:space="preserve"> enfocado a los métodos de investigación</w:t>
      </w:r>
      <w:r w:rsidRPr="00EB5CF0">
        <w:t>), se mantuvieron tres ejes pedagógicos: eje epistemológico, eje histórico y eje metodológico</w:t>
      </w:r>
      <w:sdt>
        <w:sdtPr>
          <w:id w:val="5814318"/>
          <w:citation/>
        </w:sdtPr>
        <w:sdtEndPr/>
        <w:sdtContent>
          <w:r w:rsidR="0072146B" w:rsidRPr="00EB5CF0">
            <w:fldChar w:fldCharType="begin"/>
          </w:r>
          <w:r w:rsidRPr="00EB5CF0">
            <w:instrText xml:space="preserve"> CITATION Per92 \l 2058 </w:instrText>
          </w:r>
          <w:r w:rsidR="0072146B" w:rsidRPr="00EB5CF0">
            <w:fldChar w:fldCharType="separate"/>
          </w:r>
          <w:r w:rsidRPr="00EB5CF0">
            <w:rPr>
              <w:noProof/>
            </w:rPr>
            <w:t xml:space="preserve"> (Personal Académico de Metodología de la Ciencia, PESTyC, 1992)</w:t>
          </w:r>
          <w:r w:rsidR="0072146B" w:rsidRPr="00EB5CF0">
            <w:fldChar w:fldCharType="end"/>
          </w:r>
        </w:sdtContent>
      </w:sdt>
      <w:r w:rsidRPr="00EB5CF0">
        <w:t>. Por otro lado, en el ciclo 1993-1994 la maestría celebró su décimo aniversario y fue renovada sin condicionantes su pertenencia en el Padrón de Excelencia del CONACyT</w:t>
      </w:r>
      <w:sdt>
        <w:sdtPr>
          <w:id w:val="3370518"/>
          <w:citation/>
        </w:sdtPr>
        <w:sdtEndPr/>
        <w:sdtContent>
          <w:r w:rsidR="0072146B" w:rsidRPr="00EB5CF0">
            <w:fldChar w:fldCharType="begin"/>
          </w:r>
          <w:r w:rsidRPr="00EB5CF0">
            <w:instrText xml:space="preserve"> CITATION Cas \t  \l 2058  </w:instrText>
          </w:r>
          <w:r w:rsidR="0072146B" w:rsidRPr="00EB5CF0">
            <w:fldChar w:fldCharType="separate"/>
          </w:r>
          <w:r w:rsidRPr="00EB5CF0">
            <w:rPr>
              <w:noProof/>
            </w:rPr>
            <w:t xml:space="preserve"> (Castillo García, Manrique Nava, &amp; Gamboa Villafranca, 1995)</w:t>
          </w:r>
          <w:r w:rsidR="0072146B" w:rsidRPr="00EB5CF0">
            <w:fldChar w:fldCharType="end"/>
          </w:r>
        </w:sdtContent>
      </w:sdt>
      <w:r w:rsidR="00DE75B3">
        <w:t xml:space="preserve"> y continuó así hasta 1997</w:t>
      </w:r>
      <w:sdt>
        <w:sdtPr>
          <w:id w:val="5188897"/>
          <w:citation/>
        </w:sdtPr>
        <w:sdtEndPr/>
        <w:sdtContent>
          <w:r w:rsidR="00B20C48">
            <w:fldChar w:fldCharType="begin"/>
          </w:r>
          <w:r w:rsidR="00B20C48">
            <w:instrText xml:space="preserve"> CITATION Com03 \l 2058 </w:instrText>
          </w:r>
          <w:r w:rsidR="00B20C48">
            <w:fldChar w:fldCharType="separate"/>
          </w:r>
          <w:r w:rsidR="00DE75B3">
            <w:rPr>
              <w:noProof/>
            </w:rPr>
            <w:t xml:space="preserve"> </w:t>
          </w:r>
          <w:r w:rsidR="00DE75B3" w:rsidRPr="00DE75B3">
            <w:rPr>
              <w:noProof/>
            </w:rPr>
            <w:t>(Comisión del Colegio de Posgrado, 2003)</w:t>
          </w:r>
          <w:r w:rsidR="00B20C48">
            <w:rPr>
              <w:noProof/>
            </w:rPr>
            <w:fldChar w:fldCharType="end"/>
          </w:r>
        </w:sdtContent>
      </w:sdt>
      <w:r w:rsidR="00DE75B3">
        <w:t>.</w:t>
      </w:r>
    </w:p>
    <w:p w:rsidR="00356E67" w:rsidRPr="00EB5CF0" w:rsidRDefault="00356E67" w:rsidP="00E16642"/>
    <w:p w:rsidR="00356E67" w:rsidRPr="00EB5CF0" w:rsidRDefault="00356E67" w:rsidP="00E16642">
      <w:r w:rsidRPr="00EB5CF0">
        <w:t>Con Luis Castillo como director, aún cuando se venía trabajando con una orientación profesionalizante, seguían las discusiones en torno al objetivo de la MCMC. Por tales motivos se dio la salida de Javier Sánchez Pozo</w:t>
      </w:r>
      <w:r w:rsidR="00ED6217">
        <w:t xml:space="preserve">, quien participa actualmente en el programa de posgrado de Filosofía de la Ciencia en la UAM y </w:t>
      </w:r>
      <w:r w:rsidRPr="00EB5CF0">
        <w:t>la de Alberto García</w:t>
      </w:r>
      <w:r w:rsidR="00ED6217">
        <w:t xml:space="preserve"> quien se dirigió al CINVESTAV</w:t>
      </w:r>
      <w:r w:rsidR="00F87F6D">
        <w:t>, Humberto</w:t>
      </w:r>
      <w:r w:rsidRPr="00EB5CF0">
        <w:t xml:space="preserve"> </w:t>
      </w:r>
      <w:proofErr w:type="spellStart"/>
      <w:r w:rsidRPr="00EB5CF0">
        <w:t>Monteón</w:t>
      </w:r>
      <w:proofErr w:type="spellEnd"/>
      <w:r w:rsidRPr="00EB5CF0">
        <w:t xml:space="preserve"> </w:t>
      </w:r>
      <w:r w:rsidR="00F87F6D">
        <w:t xml:space="preserve">y Guillermo </w:t>
      </w:r>
      <w:proofErr w:type="spellStart"/>
      <w:r w:rsidR="00F87F6D">
        <w:t>Aullet</w:t>
      </w:r>
      <w:proofErr w:type="spellEnd"/>
      <w:r w:rsidR="00F87F6D">
        <w:t xml:space="preserve"> </w:t>
      </w:r>
      <w:proofErr w:type="gramStart"/>
      <w:r w:rsidR="00F87F6D">
        <w:t>continuaron</w:t>
      </w:r>
      <w:proofErr w:type="gramEnd"/>
      <w:r w:rsidR="00F87F6D">
        <w:t xml:space="preserve"> en el programa.</w:t>
      </w:r>
      <w:r w:rsidRPr="00EB5CF0">
        <w:t xml:space="preserve"> </w:t>
      </w:r>
      <w:r w:rsidR="00F87F6D">
        <w:t>Por otro lado, c</w:t>
      </w:r>
      <w:r w:rsidRPr="00EB5CF0">
        <w:t xml:space="preserve">on la participación de Xavier </w:t>
      </w:r>
      <w:r w:rsidRPr="00EB5CF0">
        <w:lastRenderedPageBreak/>
        <w:t>Gamboa y Carolina Manrique (egresada de la misma MCMC)</w:t>
      </w:r>
      <w:r w:rsidR="00F87F6D">
        <w:t>,</w:t>
      </w:r>
      <w:r w:rsidRPr="00EB5CF0">
        <w:t xml:space="preserve"> se dio prioridad a la corriente de metodología de la investigación participando en diversos proyectos de apoyo: el PESTyC colaboró en los aspectos metodológicos de la función docencia-investigación para consolidar los programas de investigación o desarrollo tecnológico en diferentes programas de posgrado del IPN.</w:t>
      </w:r>
    </w:p>
    <w:p w:rsidR="00356E67" w:rsidRPr="00EB5CF0" w:rsidRDefault="00356E67" w:rsidP="00E16642"/>
    <w:p w:rsidR="00356E67" w:rsidRPr="00EB5CF0" w:rsidRDefault="00356E67" w:rsidP="00E16642">
      <w:r w:rsidRPr="00EB5CF0">
        <w:t xml:space="preserve">En esa época fue cuando el PESTyC, tuvo acercamiento y trabajos conjuntos con diferentes regiones del país, por ejemplo: cursos de “proyectos de investigación” en la Universidad Autónoma de Tamaulipas, cursos de “formulación de proyectos de investigación y técnicas de búsqueda de información científica y tecnológica” de 1993-1995 en el Centro de Estudios Superiores del Estado de Sonora, el instituto Campechano, en la Universidad Autónoma Juárez de Tabasco y la Universidad Autónoma de Hidalgo  </w:t>
      </w:r>
      <w:sdt>
        <w:sdtPr>
          <w:id w:val="3370516"/>
          <w:citation/>
        </w:sdtPr>
        <w:sdtEndPr/>
        <w:sdtContent>
          <w:r w:rsidR="0072146B" w:rsidRPr="00EB5CF0">
            <w:fldChar w:fldCharType="begin"/>
          </w:r>
          <w:r w:rsidRPr="00EB5CF0">
            <w:instrText xml:space="preserve"> CITATION Cas \t  \l 2058  </w:instrText>
          </w:r>
          <w:r w:rsidR="0072146B" w:rsidRPr="00EB5CF0">
            <w:fldChar w:fldCharType="separate"/>
          </w:r>
          <w:r w:rsidRPr="00EB5CF0">
            <w:rPr>
              <w:noProof/>
            </w:rPr>
            <w:t>(Castillo García, Manrique Nava, &amp; Gamboa Villafranca, 1995)</w:t>
          </w:r>
          <w:r w:rsidR="0072146B" w:rsidRPr="00EB5CF0">
            <w:fldChar w:fldCharType="end"/>
          </w:r>
        </w:sdtContent>
      </w:sdt>
      <w:r w:rsidRPr="00EB5CF0">
        <w:t xml:space="preserve">. </w:t>
      </w:r>
      <w:r w:rsidR="00ED6217">
        <w:t>También tuvo colaboraciones e</w:t>
      </w:r>
      <w:r w:rsidRPr="00EB5CF0">
        <w:t>n el D.F.</w:t>
      </w:r>
      <w:r w:rsidR="00ED6217">
        <w:t>,</w:t>
      </w:r>
      <w:r w:rsidRPr="00EB5CF0">
        <w:t xml:space="preserve"> con el Hospital Juárez de México en 1994</w:t>
      </w:r>
      <w:r w:rsidR="00ED6217">
        <w:t>,</w:t>
      </w:r>
      <w:r w:rsidRPr="00EB5CF0">
        <w:t xml:space="preserve"> como jurado calificador del concurso “Trabajos libres de investigación” e impartición de  cinco diplomados en 1995 para enfermeras</w:t>
      </w:r>
      <w:sdt>
        <w:sdtPr>
          <w:id w:val="3370520"/>
          <w:citation/>
        </w:sdtPr>
        <w:sdtEndPr/>
        <w:sdtContent>
          <w:r w:rsidR="0072146B" w:rsidRPr="00EB5CF0">
            <w:fldChar w:fldCharType="begin"/>
          </w:r>
          <w:r w:rsidRPr="00EB5CF0">
            <w:instrText xml:space="preserve"> CITATION Cas \t  \m CIE10 \t  \l 2058  </w:instrText>
          </w:r>
          <w:r w:rsidR="0072146B" w:rsidRPr="00EB5CF0">
            <w:fldChar w:fldCharType="separate"/>
          </w:r>
          <w:r w:rsidRPr="00EB5CF0">
            <w:rPr>
              <w:noProof/>
            </w:rPr>
            <w:t xml:space="preserve"> (Castillo García, Manrique Nava, &amp; Gamboa Villafranca, 1995; CIECAS, 2010b)</w:t>
          </w:r>
          <w:r w:rsidR="0072146B" w:rsidRPr="00EB5CF0">
            <w:fldChar w:fldCharType="end"/>
          </w:r>
        </w:sdtContent>
      </w:sdt>
      <w:r w:rsidR="00ED6217">
        <w:t>; además,</w:t>
      </w:r>
      <w:r w:rsidRPr="00EB5CF0">
        <w:t xml:space="preserve"> cursos para elaborar protocolos de investigación y/o desarrollo tecnológico</w:t>
      </w:r>
      <w:sdt>
        <w:sdtPr>
          <w:id w:val="60224374"/>
          <w:citation/>
        </w:sdtPr>
        <w:sdtEndPr/>
        <w:sdtContent>
          <w:r w:rsidR="0072146B" w:rsidRPr="00EB5CF0">
            <w:fldChar w:fldCharType="begin"/>
          </w:r>
          <w:r w:rsidRPr="00EB5CF0">
            <w:instrText xml:space="preserve"> CITATION Cas03 \t  \l 2058  </w:instrText>
          </w:r>
          <w:r w:rsidR="0072146B" w:rsidRPr="00EB5CF0">
            <w:fldChar w:fldCharType="separate"/>
          </w:r>
          <w:r w:rsidRPr="00EB5CF0">
            <w:rPr>
              <w:noProof/>
            </w:rPr>
            <w:t xml:space="preserve"> (Castillo García, 2003)</w:t>
          </w:r>
          <w:r w:rsidR="0072146B" w:rsidRPr="00EB5CF0">
            <w:fldChar w:fldCharType="end"/>
          </w:r>
        </w:sdtContent>
      </w:sdt>
      <w:r w:rsidR="00ED6217">
        <w:t>.</w:t>
      </w:r>
      <w:r w:rsidR="00F87F6D">
        <w:t xml:space="preserve"> Estos son ejemplos de que prevalecía la idea de formar estudiantes en los métodos de investigación aplicables a cada área apoyada.</w:t>
      </w:r>
    </w:p>
    <w:p w:rsidR="00356E67" w:rsidRPr="00EB5CF0" w:rsidRDefault="00356E67" w:rsidP="00E16642"/>
    <w:p w:rsidR="00356E67" w:rsidRPr="00EB5CF0" w:rsidRDefault="00356E67" w:rsidP="00E16642">
      <w:r w:rsidRPr="00EB5CF0">
        <w:t>Asimismo el PESTyC fue apoyo al interior del IPN impartiendo seminarios de tesis y seminarios departamentales en diferentes maestrías, para orientar el diseño, ejecución y presentación de trabajos de investigación y de trabajos de tesis, por ejemplo: con las maestrías de Ingeniería Química de la Escuela Superior de Ingeniería Química e Industrias Extractivas (ESIQUIE en 1995) o la de Salud Ocupacional, Seguridad e Higiene de la Escuela Nacional de Medicina y Homeopatía (</w:t>
      </w:r>
      <w:proofErr w:type="spellStart"/>
      <w:r w:rsidRPr="00EB5CF0">
        <w:t>ENMyH</w:t>
      </w:r>
      <w:proofErr w:type="spellEnd"/>
      <w:r w:rsidRPr="00EB5CF0">
        <w:t xml:space="preserve"> en 1997),</w:t>
      </w:r>
      <w:sdt>
        <w:sdtPr>
          <w:id w:val="3370523"/>
          <w:citation/>
        </w:sdtPr>
        <w:sdtEndPr/>
        <w:sdtContent>
          <w:r w:rsidR="0072146B" w:rsidRPr="00EB5CF0">
            <w:fldChar w:fldCharType="begin"/>
          </w:r>
          <w:r w:rsidRPr="00EB5CF0">
            <w:instrText xml:space="preserve"> CITATION Cas96 \t  \m CIE10 \t  \l 2058  </w:instrText>
          </w:r>
          <w:r w:rsidR="0072146B" w:rsidRPr="00EB5CF0">
            <w:fldChar w:fldCharType="separate"/>
          </w:r>
          <w:r w:rsidRPr="00EB5CF0">
            <w:rPr>
              <w:noProof/>
            </w:rPr>
            <w:t xml:space="preserve"> (Castillo García &amp; Manrique Nava, 1996; CIECAS, 2010b)</w:t>
          </w:r>
          <w:r w:rsidR="0072146B" w:rsidRPr="00EB5CF0">
            <w:fldChar w:fldCharType="end"/>
          </w:r>
        </w:sdtContent>
      </w:sdt>
      <w:r w:rsidRPr="00EB5CF0">
        <w:t>.</w:t>
      </w:r>
    </w:p>
    <w:p w:rsidR="00356E67" w:rsidRPr="00EB5CF0" w:rsidRDefault="00356E67" w:rsidP="00E16642"/>
    <w:p w:rsidR="00356E67" w:rsidRDefault="00356E67" w:rsidP="00E16642">
      <w:r w:rsidRPr="00EB5CF0">
        <w:lastRenderedPageBreak/>
        <w:t>Durante el periodo 1995-1997 se contempló la idea de implementar el programa de maestría en Sonora y Campeche, gracias a los trabajos del Fondo para la Modernización de la Educación Superior (FOMES)</w:t>
      </w:r>
      <w:sdt>
        <w:sdtPr>
          <w:id w:val="3370524"/>
          <w:citation/>
        </w:sdtPr>
        <w:sdtEndPr/>
        <w:sdtContent>
          <w:r w:rsidR="0072146B" w:rsidRPr="00EB5CF0">
            <w:fldChar w:fldCharType="begin"/>
          </w:r>
          <w:r w:rsidRPr="00EB5CF0">
            <w:instrText xml:space="preserve"> CITATION Cas96 \t  \l 2058  </w:instrText>
          </w:r>
          <w:r w:rsidR="0072146B" w:rsidRPr="00EB5CF0">
            <w:fldChar w:fldCharType="separate"/>
          </w:r>
          <w:r w:rsidRPr="00EB5CF0">
            <w:rPr>
              <w:noProof/>
            </w:rPr>
            <w:t xml:space="preserve"> (Castillo García &amp; Manrique Nava, 1996)</w:t>
          </w:r>
          <w:r w:rsidR="0072146B" w:rsidRPr="00EB5CF0">
            <w:fldChar w:fldCharType="end"/>
          </w:r>
        </w:sdtContent>
      </w:sdt>
      <w:r w:rsidRPr="00EB5CF0">
        <w:t xml:space="preserve">. En colaboración con el programa SUPERA de la ANUIES en el ciclo 1995-1996 también se trabajó para impartir la maestría en metodología de la ciencia adaptada a la región Baja California-Sonora-Chihuahua </w:t>
      </w:r>
      <w:sdt>
        <w:sdtPr>
          <w:id w:val="3370519"/>
          <w:citation/>
        </w:sdtPr>
        <w:sdtEndPr/>
        <w:sdtContent>
          <w:r w:rsidR="0072146B" w:rsidRPr="00EB5CF0">
            <w:fldChar w:fldCharType="begin"/>
          </w:r>
          <w:r w:rsidRPr="00EB5CF0">
            <w:instrText xml:space="preserve"> CITATION Cas \t  \l 2058  </w:instrText>
          </w:r>
          <w:r w:rsidR="0072146B" w:rsidRPr="00EB5CF0">
            <w:fldChar w:fldCharType="separate"/>
          </w:r>
          <w:r w:rsidRPr="00EB5CF0">
            <w:rPr>
              <w:noProof/>
            </w:rPr>
            <w:t>(Castillo García, Manrique Nava, &amp; Gamboa Villafranca, 1995)</w:t>
          </w:r>
          <w:r w:rsidR="0072146B" w:rsidRPr="00EB5CF0">
            <w:fldChar w:fldCharType="end"/>
          </w:r>
        </w:sdtContent>
      </w:sdt>
      <w:r w:rsidRPr="00EB5CF0">
        <w:t xml:space="preserve">. </w:t>
      </w:r>
      <w:r w:rsidR="00F87F6D">
        <w:t xml:space="preserve">Ninguna de las metas </w:t>
      </w:r>
      <w:proofErr w:type="gramStart"/>
      <w:r w:rsidR="00F87F6D">
        <w:t>fueron</w:t>
      </w:r>
      <w:proofErr w:type="gramEnd"/>
      <w:r w:rsidR="00F87F6D">
        <w:t xml:space="preserve"> alcanzadas.</w:t>
      </w:r>
    </w:p>
    <w:p w:rsidR="00F87F6D" w:rsidRPr="00EB5CF0" w:rsidRDefault="00F87F6D" w:rsidP="00E16642"/>
    <w:p w:rsidR="00356E67" w:rsidRPr="00EB5CF0" w:rsidRDefault="00F87F6D" w:rsidP="00E16642">
      <w:r>
        <w:t>A pesar de ello, s</w:t>
      </w:r>
      <w:r w:rsidR="00356E67" w:rsidRPr="00EB5CF0">
        <w:t xml:space="preserve">e justificaban las acciones </w:t>
      </w:r>
      <w:r w:rsidR="007E583D">
        <w:t>que se realizaban en el PESTYC, en</w:t>
      </w:r>
      <w:r w:rsidR="00356E67" w:rsidRPr="00EB5CF0">
        <w:t xml:space="preserve"> favor de la Reforma Académica Integral del IPN, a saber, “capacitación y actualización de docentes, aseguramiento de la excelencia académica, atención integral de las necesidades regionales, participación de la sociedad y fortalecimiento de la difusión de la cultura científica y tecnológica”</w:t>
      </w:r>
      <w:sdt>
        <w:sdtPr>
          <w:id w:val="3370521"/>
          <w:citation/>
        </w:sdtPr>
        <w:sdtEndPr/>
        <w:sdtContent>
          <w:r w:rsidR="0072146B" w:rsidRPr="00EB5CF0">
            <w:fldChar w:fldCharType="begin"/>
          </w:r>
          <w:r w:rsidR="00356E67" w:rsidRPr="00EB5CF0">
            <w:instrText xml:space="preserve"> CITATION Cas \p 3 \t  \l 2058  </w:instrText>
          </w:r>
          <w:r w:rsidR="0072146B" w:rsidRPr="00EB5CF0">
            <w:fldChar w:fldCharType="separate"/>
          </w:r>
          <w:r w:rsidR="00356E67" w:rsidRPr="00EB5CF0">
            <w:rPr>
              <w:noProof/>
            </w:rPr>
            <w:t xml:space="preserve"> (Castillo García, Manrique Nava, &amp; Gamboa Villafranca, 1995, pág. 3)</w:t>
          </w:r>
          <w:r w:rsidR="0072146B" w:rsidRPr="00EB5CF0">
            <w:fldChar w:fldCharType="end"/>
          </w:r>
        </w:sdtContent>
      </w:sdt>
      <w:r w:rsidR="00356E67" w:rsidRPr="00EB5CF0">
        <w:t xml:space="preserve">. </w:t>
      </w:r>
      <w:r w:rsidR="007E583D">
        <w:t>P</w:t>
      </w:r>
      <w:r w:rsidR="00356E67" w:rsidRPr="00EB5CF0">
        <w:t>areciera que la orientación que tomó con todas estas participaciones estaba más del lado de la metodología de la investigación, en una especie de asesoramiento o vigilancia de los métodos empleados para realizar tesis de cualquier especialidad</w:t>
      </w:r>
      <w:r w:rsidR="007E583D">
        <w:t>. U</w:t>
      </w:r>
      <w:r w:rsidR="00356E67" w:rsidRPr="00EB5CF0">
        <w:t>n análisis que permitiría corroborar estas hipótesis sería la revisión de las tesis realizadas en esos años pero para saber si tuvieron o se incluyeron reflexiones metodológicas (en términos de metodología de la ciencia) se necesitaría un equipo multidisciplinario y cada participante con formación en metodología de la ciencia en su disciplina.</w:t>
      </w:r>
    </w:p>
    <w:p w:rsidR="00356E67" w:rsidRPr="00EB5CF0" w:rsidRDefault="00356E67" w:rsidP="00E16642"/>
    <w:p w:rsidR="00356E67" w:rsidRDefault="00356E67" w:rsidP="00E16642">
      <w:r w:rsidRPr="00EB5CF0">
        <w:t xml:space="preserve">En </w:t>
      </w:r>
      <w:r w:rsidR="00DE75B3">
        <w:t>noviembre de 1993</w:t>
      </w:r>
      <w:r w:rsidRPr="00EB5CF0">
        <w:t xml:space="preserve"> cuando Rolando Jiménez Domínguez se convierte en el di</w:t>
      </w:r>
      <w:r w:rsidR="007E583D">
        <w:t>rector interino</w:t>
      </w:r>
      <w:r w:rsidR="00DE75B3">
        <w:t xml:space="preserve"> (hasta febrero de 2001)</w:t>
      </w:r>
      <w:r w:rsidR="007E583D">
        <w:t>, existían las mismas dos</w:t>
      </w:r>
      <w:r w:rsidRPr="00EB5CF0">
        <w:t xml:space="preserve"> posturas</w:t>
      </w:r>
      <w:r w:rsidR="007E583D">
        <w:t>:</w:t>
      </w:r>
      <w:r w:rsidRPr="00EB5CF0">
        <w:t xml:space="preserve"> la de metodología de la ciencia </w:t>
      </w:r>
      <w:r w:rsidR="00AA2C00">
        <w:t xml:space="preserve">vs la orientación a la </w:t>
      </w:r>
      <w:r w:rsidR="00AA2C00" w:rsidRPr="00EB5CF0">
        <w:t>metodología de la investigación</w:t>
      </w:r>
      <w:r w:rsidR="00AA2C00">
        <w:t>. Los participantes seguían siendo Onofre Rojo, Guillermo</w:t>
      </w:r>
      <w:r w:rsidR="007E583D">
        <w:t xml:space="preserve"> </w:t>
      </w:r>
      <w:proofErr w:type="spellStart"/>
      <w:r w:rsidR="007E583D">
        <w:t>Aullet</w:t>
      </w:r>
      <w:proofErr w:type="spellEnd"/>
      <w:r w:rsidR="007E583D">
        <w:t xml:space="preserve">; </w:t>
      </w:r>
      <w:r w:rsidR="00AA2C00">
        <w:t>Adalberto Ojeda, Xavier Gamboa, Carolina Manrique</w:t>
      </w:r>
      <w:r w:rsidR="007E583D">
        <w:t xml:space="preserve"> y </w:t>
      </w:r>
      <w:r w:rsidRPr="00EB5CF0">
        <w:t>Humberto Monteón</w:t>
      </w:r>
      <w:r w:rsidR="00AA2C00">
        <w:t xml:space="preserve"> y se integraron </w:t>
      </w:r>
      <w:r w:rsidRPr="00EB5CF0">
        <w:t>Luis Mauricio Rodríguez</w:t>
      </w:r>
      <w:r w:rsidRPr="00EB5CF0">
        <w:rPr>
          <w:rStyle w:val="Refdenotaalpie"/>
          <w:rFonts w:cs="Arial"/>
          <w:szCs w:val="24"/>
        </w:rPr>
        <w:footnoteReference w:id="10"/>
      </w:r>
      <w:r w:rsidRPr="00EB5CF0">
        <w:t xml:space="preserve"> y Ángel Vargas.</w:t>
      </w:r>
    </w:p>
    <w:p w:rsidR="00177025" w:rsidRDefault="00177025" w:rsidP="00E16642"/>
    <w:p w:rsidR="00F87F6D" w:rsidRPr="00EB5CF0" w:rsidRDefault="00177025" w:rsidP="00E16642">
      <w:r>
        <w:lastRenderedPageBreak/>
        <w:t xml:space="preserve">Durante el periodo de 1997-1999 el programa de MCMC se imparte en el Centro de Estudios Superiores del Estado de Sonora (CESUES), siendo la única ocasión en que se logró impartir en una entidad federativa diferente del país </w:t>
      </w:r>
      <w:sdt>
        <w:sdtPr>
          <w:id w:val="5188900"/>
          <w:citation/>
        </w:sdtPr>
        <w:sdtEndPr/>
        <w:sdtContent>
          <w:r w:rsidR="00B20C48">
            <w:fldChar w:fldCharType="begin"/>
          </w:r>
          <w:r w:rsidR="00B20C48">
            <w:instrText xml:space="preserve"> CITATION Com03 \l 2058 </w:instrText>
          </w:r>
          <w:r w:rsidR="00B20C48">
            <w:fldChar w:fldCharType="separate"/>
          </w:r>
          <w:r w:rsidRPr="00177025">
            <w:rPr>
              <w:noProof/>
            </w:rPr>
            <w:t>(Comisión del Colegio de Posgrado, 2003)</w:t>
          </w:r>
          <w:r w:rsidR="00B20C48">
            <w:rPr>
              <w:noProof/>
            </w:rPr>
            <w:fldChar w:fldCharType="end"/>
          </w:r>
        </w:sdtContent>
      </w:sdt>
      <w:r w:rsidR="00AA2C00">
        <w:t xml:space="preserve"> y se pretendía tomar como base ese logro para impartir la maestría en el </w:t>
      </w:r>
      <w:r w:rsidR="00F87F6D" w:rsidRPr="00EB5CF0">
        <w:t>Instituto Campechano y en la Universidad Autónoma del Carmen (UNACAR)</w:t>
      </w:r>
      <w:sdt>
        <w:sdtPr>
          <w:id w:val="3196075"/>
          <w:citation/>
        </w:sdtPr>
        <w:sdtEndPr/>
        <w:sdtContent>
          <w:r w:rsidR="00B20C48">
            <w:fldChar w:fldCharType="begin"/>
          </w:r>
          <w:r w:rsidR="00B20C48">
            <w:instrText xml:space="preserve"> CITATION CIE10 \t  \l 2058  </w:instrText>
          </w:r>
          <w:r w:rsidR="00B20C48">
            <w:fldChar w:fldCharType="separate"/>
          </w:r>
          <w:r w:rsidR="00F87F6D" w:rsidRPr="00EB5CF0">
            <w:rPr>
              <w:noProof/>
            </w:rPr>
            <w:t xml:space="preserve"> (CIECAS, 2010b)</w:t>
          </w:r>
          <w:r w:rsidR="00B20C48">
            <w:rPr>
              <w:noProof/>
            </w:rPr>
            <w:fldChar w:fldCharType="end"/>
          </w:r>
        </w:sdtContent>
      </w:sdt>
      <w:r w:rsidR="00F87F6D">
        <w:t>.</w:t>
      </w:r>
    </w:p>
    <w:p w:rsidR="00356E67" w:rsidRPr="00EB5CF0" w:rsidRDefault="00356E67" w:rsidP="00E16642"/>
    <w:p w:rsidR="00356E67" w:rsidRDefault="00177025" w:rsidP="00E16642">
      <w:r>
        <w:t xml:space="preserve">Poco antes de que </w:t>
      </w:r>
      <w:r w:rsidR="00356E67" w:rsidRPr="00EB5CF0">
        <w:t>Rolando Jiménez Domínguez deja</w:t>
      </w:r>
      <w:r>
        <w:t>ra</w:t>
      </w:r>
      <w:r w:rsidR="00356E67" w:rsidRPr="00EB5CF0">
        <w:t xml:space="preserve"> el cargo de director interino</w:t>
      </w:r>
      <w:r>
        <w:t>, e</w:t>
      </w:r>
      <w:r w:rsidRPr="00EB5CF0">
        <w:t xml:space="preserve">n 2000 la MCMC, por instrucciones de la Dirección General del IPN, entró en receso </w:t>
      </w:r>
      <w:sdt>
        <w:sdtPr>
          <w:id w:val="3686917"/>
          <w:citation/>
        </w:sdtPr>
        <w:sdtEndPr/>
        <w:sdtContent>
          <w:r w:rsidR="00B20C48">
            <w:fldChar w:fldCharType="begin"/>
          </w:r>
          <w:r w:rsidR="00B20C48">
            <w:instrText xml:space="preserve"> CITATION Lóp06 \l 2058 </w:instrText>
          </w:r>
          <w:r w:rsidR="00B20C48">
            <w:fldChar w:fldCharType="separate"/>
          </w:r>
          <w:r w:rsidRPr="00EB5CF0">
            <w:rPr>
              <w:noProof/>
            </w:rPr>
            <w:t>(López Guardado, 2006)</w:t>
          </w:r>
          <w:r w:rsidR="00B20C48">
            <w:rPr>
              <w:noProof/>
            </w:rPr>
            <w:fldChar w:fldCharType="end"/>
          </w:r>
        </w:sdtContent>
      </w:sdt>
      <w:r w:rsidRPr="00EB5CF0">
        <w:t xml:space="preserve"> para llevar a cabo un proceso de reestructuración y adecuación del programa de estudios y desaparece el PESTyC.</w:t>
      </w:r>
      <w:r>
        <w:t xml:space="preserve"> Sigu</w:t>
      </w:r>
      <w:r w:rsidR="009A025F">
        <w:t>ió</w:t>
      </w:r>
      <w:r w:rsidR="00356E67" w:rsidRPr="00EB5CF0">
        <w:t xml:space="preserve"> la dirección de Leonel Gómez Lujambio</w:t>
      </w:r>
      <w:r>
        <w:t xml:space="preserve"> (a partir de febrero de 2001)</w:t>
      </w:r>
      <w:r w:rsidR="00356E67" w:rsidRPr="00EB5CF0">
        <w:t xml:space="preserve"> y</w:t>
      </w:r>
      <w:r>
        <w:t xml:space="preserve"> aunque en esta etapa incrementó el número de tesis, se procede a una revisión de planes y programas con la finalidad de ampliar</w:t>
      </w:r>
      <w:r w:rsidR="00356E67" w:rsidRPr="00EB5CF0">
        <w:t xml:space="preserve"> </w:t>
      </w:r>
      <w:r>
        <w:t>los objetivos y sus acciones dentro del IPN.</w:t>
      </w:r>
      <w:r w:rsidR="009A025F">
        <w:t xml:space="preserve"> Es importante mencionar que a lo largo de todo este periodo (1983-2002) en cuanto a la formación de estudiantes, de 303 alumnos </w:t>
      </w:r>
      <w:r w:rsidR="00AB32CA">
        <w:t>solo</w:t>
      </w:r>
      <w:r w:rsidR="009A025F">
        <w:t xml:space="preserve"> 11% solicitaron baja del programa y de los 270 que egresaron </w:t>
      </w:r>
      <w:r w:rsidR="00C34217">
        <w:t xml:space="preserve">115 se graduaron, esto es una eficiencia terminal del 89% y de graduación del 38% </w:t>
      </w:r>
      <w:sdt>
        <w:sdtPr>
          <w:id w:val="5188901"/>
          <w:citation/>
        </w:sdtPr>
        <w:sdtEndPr/>
        <w:sdtContent>
          <w:r w:rsidR="00B20C48">
            <w:fldChar w:fldCharType="begin"/>
          </w:r>
          <w:r w:rsidR="00B20C48">
            <w:instrText xml:space="preserve"> CITATION Com03 \l 2058 </w:instrText>
          </w:r>
          <w:r w:rsidR="00B20C48">
            <w:fldChar w:fldCharType="separate"/>
          </w:r>
          <w:r w:rsidR="00C34217" w:rsidRPr="00C34217">
            <w:rPr>
              <w:noProof/>
            </w:rPr>
            <w:t>(Comisión del Colegio de Posgrado, 2003)</w:t>
          </w:r>
          <w:r w:rsidR="00B20C48">
            <w:rPr>
              <w:noProof/>
            </w:rPr>
            <w:fldChar w:fldCharType="end"/>
          </w:r>
        </w:sdtContent>
      </w:sdt>
      <w:r w:rsidR="00C34217">
        <w:t>.</w:t>
      </w:r>
    </w:p>
    <w:p w:rsidR="00177025" w:rsidRDefault="00177025" w:rsidP="00E16642"/>
    <w:p w:rsidR="00C34217" w:rsidRPr="00EB5CF0" w:rsidRDefault="00C34217" w:rsidP="00E16642"/>
    <w:p w:rsidR="00356E67" w:rsidRPr="003E1A0D" w:rsidRDefault="00436C36" w:rsidP="003E1A0D">
      <w:pPr>
        <w:rPr>
          <w:b/>
        </w:rPr>
      </w:pPr>
      <w:r w:rsidRPr="003E1A0D">
        <w:rPr>
          <w:b/>
        </w:rPr>
        <w:t>La MCMC</w:t>
      </w:r>
      <w:r w:rsidR="00E268C6" w:rsidRPr="003E1A0D">
        <w:rPr>
          <w:b/>
        </w:rPr>
        <w:t xml:space="preserve"> 2004-</w:t>
      </w:r>
      <w:r w:rsidRPr="003E1A0D">
        <w:rPr>
          <w:b/>
        </w:rPr>
        <w:t>2010</w:t>
      </w:r>
    </w:p>
    <w:p w:rsidR="00356E67" w:rsidRPr="00EB5CF0" w:rsidRDefault="00356E67" w:rsidP="00E16642"/>
    <w:p w:rsidR="00356E67" w:rsidRPr="00EB5CF0" w:rsidRDefault="00356E67" w:rsidP="00E16642">
      <w:r w:rsidRPr="00EB5CF0">
        <w:t xml:space="preserve">El 31 de enero del 2002 el H. Consejo Consultivo firmó el acuerdo de que el PESTyC se incorporara al CIECAS </w:t>
      </w:r>
      <w:sdt>
        <w:sdtPr>
          <w:id w:val="2601025"/>
          <w:citation/>
        </w:sdtPr>
        <w:sdtEndPr/>
        <w:sdtContent>
          <w:r w:rsidR="0072146B" w:rsidRPr="00EB5CF0">
            <w:fldChar w:fldCharType="begin"/>
          </w:r>
          <w:r w:rsidRPr="00EB5CF0">
            <w:instrText xml:space="preserve"> CITATION Lóp06 \l 2058 </w:instrText>
          </w:r>
          <w:r w:rsidR="0072146B" w:rsidRPr="00EB5CF0">
            <w:fldChar w:fldCharType="separate"/>
          </w:r>
          <w:r w:rsidRPr="00EB5CF0">
            <w:rPr>
              <w:noProof/>
            </w:rPr>
            <w:t>(López Guardado, 2006)</w:t>
          </w:r>
          <w:r w:rsidR="0072146B" w:rsidRPr="00EB5CF0">
            <w:fldChar w:fldCharType="end"/>
          </w:r>
        </w:sdtContent>
      </w:sdt>
      <w:r w:rsidR="007E583D">
        <w:t>,</w:t>
      </w:r>
      <w:r w:rsidRPr="00EB5CF0">
        <w:t xml:space="preserve"> </w:t>
      </w:r>
      <w:r w:rsidR="009A42E3">
        <w:t xml:space="preserve">desapareciendo como unidad del IPN, </w:t>
      </w:r>
      <w:r w:rsidRPr="00EB5CF0">
        <w:t>con el fin de “seguir fomentando una óptima vinculación entre la academia y los sectores productivo y social del país, así como la continuidad y mayor funcionalidad a la Maestría en Metodología de la Ciencia” (esto fue publicado en la Gaceta</w:t>
      </w:r>
      <w:r w:rsidRPr="00EB5CF0">
        <w:rPr>
          <w:color w:val="FF0000"/>
          <w:vertAlign w:val="superscript"/>
        </w:rPr>
        <w:t xml:space="preserve"> </w:t>
      </w:r>
      <w:r w:rsidRPr="00EB5CF0">
        <w:t xml:space="preserve">Politécnica, núm. 525, vol. 6, el 15 de febrero de 2002). Durante la dirección en el CIECAS del Dr. </w:t>
      </w:r>
      <w:proofErr w:type="spellStart"/>
      <w:r w:rsidRPr="00EB5CF0">
        <w:t>Adip</w:t>
      </w:r>
      <w:proofErr w:type="spellEnd"/>
      <w:r w:rsidRPr="00EB5CF0">
        <w:t xml:space="preserve"> </w:t>
      </w:r>
      <w:proofErr w:type="spellStart"/>
      <w:r w:rsidRPr="00EB5CF0">
        <w:t>Sabag</w:t>
      </w:r>
      <w:proofErr w:type="spellEnd"/>
      <w:r w:rsidRPr="00EB5CF0">
        <w:t xml:space="preserve"> se incorporó </w:t>
      </w:r>
      <w:r w:rsidRPr="00EB5CF0">
        <w:lastRenderedPageBreak/>
        <w:t>físicamente el personal del PESTyC al dicho Centro y se inició la reestructuración de la maestría en Metodología del a Ciencia, su reapertura fue en julio de 2004.</w:t>
      </w:r>
    </w:p>
    <w:p w:rsidR="00356E67" w:rsidRPr="00EB5CF0" w:rsidRDefault="00356E67" w:rsidP="00E16642"/>
    <w:p w:rsidR="00356E67" w:rsidRPr="00EB5CF0" w:rsidRDefault="00356E67" w:rsidP="00E16642">
      <w:r w:rsidRPr="00EB5CF0">
        <w:t xml:space="preserve">El Centro de Investigaciones Económicas Administrativas y Sociales es creado en 1996, cuando aún existía el PESTyC dentro de la ESIME Culhuacán impartiendo la MCMC. El CIECAS se abre “con el objeto de fomentar la vinculación con entidades públicas, privadas y sociales, a través de los servicios de consultoría, sustentado en la investigación económica y administrativa, atendiendo a prioridades del desarrollo económico nacional y sectorial; que identifique la vocación actual y potencial de las diversas regiones del país, así como ofertar cursos de alto nivel dirigidos a la comunidad politécnica y al púbico en general” </w:t>
      </w:r>
      <w:sdt>
        <w:sdtPr>
          <w:id w:val="2601037"/>
          <w:citation/>
        </w:sdtPr>
        <w:sdtEndPr/>
        <w:sdtContent>
          <w:r w:rsidR="0072146B" w:rsidRPr="00EB5CF0">
            <w:fldChar w:fldCharType="begin"/>
          </w:r>
          <w:r w:rsidRPr="00EB5CF0">
            <w:instrText xml:space="preserve"> CITATION Gue96 \l 2058 </w:instrText>
          </w:r>
          <w:r w:rsidR="0072146B" w:rsidRPr="00EB5CF0">
            <w:fldChar w:fldCharType="separate"/>
          </w:r>
          <w:r w:rsidRPr="00EB5CF0">
            <w:rPr>
              <w:noProof/>
            </w:rPr>
            <w:t>(Guerra Rodríguez, 1996)</w:t>
          </w:r>
          <w:r w:rsidR="0072146B" w:rsidRPr="00EB5CF0">
            <w:fldChar w:fldCharType="end"/>
          </w:r>
        </w:sdtContent>
      </w:sdt>
      <w:r w:rsidR="009A42E3">
        <w:t>.</w:t>
      </w:r>
    </w:p>
    <w:p w:rsidR="00356E67" w:rsidRPr="00EB5CF0" w:rsidRDefault="00356E67" w:rsidP="00E16642"/>
    <w:p w:rsidR="00356E67" w:rsidRPr="00EB5CF0" w:rsidRDefault="00356E67" w:rsidP="00E16642">
      <w:r w:rsidRPr="00EB5CF0">
        <w:t xml:space="preserve">Durante la dirección en el CIECAS de Ma. </w:t>
      </w:r>
      <w:proofErr w:type="gramStart"/>
      <w:r w:rsidRPr="00EB5CF0">
        <w:t>del</w:t>
      </w:r>
      <w:proofErr w:type="gramEnd"/>
      <w:r w:rsidRPr="00EB5CF0">
        <w:t xml:space="preserve"> Rocío Soto Flores, surge un problema ante los trabajos de incluir a la Maestría en Política y Gestión del Cambio Tecnológico que se impartía en el Centro desde el 2001, dentro del Padrón de Excelencia del CONACyT, que era la falta de profesores pertenecientes al IPN, es decir, la planta con la que se contaba para dicho programa era externa con excepción Luis Mauricio Rodríguez Salazar quien sí era parte del Instituto. Con la incorporación de la planta docente del PESTyC y el receso en que se encontraba la MCMC se tuvo la oportunidad de solucionar el problema anterior y los profesores que eran del PESTyC se convierten en el personal de la Maestría en Política y Gestión del Cambio Tecnológico, aunque luego se contrataron a otros maestros. Este fue el comienzo de ocupación de cargos entre ambos programas de maestría.</w:t>
      </w:r>
    </w:p>
    <w:p w:rsidR="00356E67" w:rsidRPr="00EB5CF0" w:rsidRDefault="00356E67" w:rsidP="00E16642"/>
    <w:p w:rsidR="00356E67" w:rsidRPr="00EB5CF0" w:rsidRDefault="00356E67" w:rsidP="00E16642">
      <w:r w:rsidRPr="00EB5CF0">
        <w:t>Ante la necesidad de reestructuración de la MCMC, en el 2002 se solicitó una evaluación externa a la Universidad Nacional Autónoma de México y a la Universidad Autónoma del Estado de México</w:t>
      </w:r>
      <w:r w:rsidRPr="00EB5CF0">
        <w:rPr>
          <w:rStyle w:val="Refdenotaalpie"/>
          <w:rFonts w:cs="Arial"/>
          <w:szCs w:val="24"/>
        </w:rPr>
        <w:footnoteReference w:id="11"/>
      </w:r>
      <w:sdt>
        <w:sdtPr>
          <w:rPr>
            <w:vertAlign w:val="superscript"/>
          </w:rPr>
          <w:id w:val="2773429"/>
          <w:citation/>
        </w:sdtPr>
        <w:sdtEndPr/>
        <w:sdtContent>
          <w:r w:rsidR="0072146B" w:rsidRPr="00EB5CF0">
            <w:fldChar w:fldCharType="begin"/>
          </w:r>
          <w:r w:rsidRPr="00EB5CF0">
            <w:instrText xml:space="preserve"> CITATION Are02 \l 2058  </w:instrText>
          </w:r>
          <w:r w:rsidR="0072146B" w:rsidRPr="00EB5CF0">
            <w:fldChar w:fldCharType="separate"/>
          </w:r>
          <w:r w:rsidRPr="00EB5CF0">
            <w:rPr>
              <w:noProof/>
            </w:rPr>
            <w:t xml:space="preserve"> (Arellano Hernández &amp; Ledesma Mateos, 2002)</w:t>
          </w:r>
          <w:r w:rsidR="0072146B" w:rsidRPr="00EB5CF0">
            <w:fldChar w:fldCharType="end"/>
          </w:r>
        </w:sdtContent>
      </w:sdt>
      <w:r w:rsidRPr="00EB5CF0">
        <w:t xml:space="preserve">. Entre los resultados se propone una reformulación en el diseño del </w:t>
      </w:r>
      <w:r w:rsidRPr="00EB5CF0">
        <w:lastRenderedPageBreak/>
        <w:t xml:space="preserve">programa en cuanto a aspectos programáticos, curriculares y docentes; también una reorientación sobre las líneas de investigación, las tesis desarrolladas y la </w:t>
      </w:r>
      <w:r w:rsidRPr="00DB5DA7">
        <w:t>producción científica. En el Anexo 1 se presenta de manera esquemática dicha evaluación</w:t>
      </w:r>
      <w:bookmarkStart w:id="16" w:name="_Toc243070770"/>
      <w:bookmarkStart w:id="17" w:name="_Toc250459188"/>
      <w:r w:rsidR="00DB5DA7" w:rsidRPr="00DB5DA7">
        <w:t xml:space="preserve"> con algunos comentarios de la autora</w:t>
      </w:r>
      <w:r w:rsidRPr="00DB5DA7">
        <w:t>, aquí se resaltan las conclusiones que permiten seguir el análisis de la orientación de la Maestría.</w:t>
      </w:r>
      <w:r w:rsidRPr="00EB5CF0">
        <w:t xml:space="preserve"> </w:t>
      </w:r>
    </w:p>
    <w:bookmarkEnd w:id="16"/>
    <w:bookmarkEnd w:id="17"/>
    <w:p w:rsidR="00356E67" w:rsidRPr="00EB5CF0" w:rsidRDefault="00356E67" w:rsidP="00E16642"/>
    <w:p w:rsidR="00356E67" w:rsidRPr="00EB5CF0" w:rsidRDefault="00356E67" w:rsidP="00E16642">
      <w:r w:rsidRPr="00EB5CF0">
        <w:t>En esta evaluación se revelaron varios problemas, el primero la falta de información sobre el grado académico de los docentes y su inequitativa participación en la dirección de trabajos de tesis, puntos importantes en la caracterización de los programas de acuerdo a los criterios del CONACyT</w:t>
      </w:r>
      <w:r w:rsidR="007E583D">
        <w:t>. Sin embargo, esto puede explicarse por lo comentado anteriormente, el hecho de que los profesores del PESTyC fueron registrados como participantes en la Maestría de Política y Gestión del Cambio Tecnológico por su registro en el padrón de posgrados del CONACyT.</w:t>
      </w:r>
    </w:p>
    <w:p w:rsidR="00356E67" w:rsidRPr="00EB5CF0" w:rsidRDefault="00356E67" w:rsidP="00E16642"/>
    <w:p w:rsidR="00356E67" w:rsidRPr="00EB5CF0" w:rsidRDefault="00356E67" w:rsidP="00E16642">
      <w:r w:rsidRPr="00EB5CF0">
        <w:t>Asimismo, con relación a los temas de las tesis,</w:t>
      </w:r>
      <w:r w:rsidR="007E583D">
        <w:t xml:space="preserve"> los resultados de la evaluación indican que no </w:t>
      </w:r>
      <w:r w:rsidRPr="00EB5CF0">
        <w:t>t</w:t>
      </w:r>
      <w:r w:rsidR="007E583D">
        <w:t>ienen</w:t>
      </w:r>
      <w:r w:rsidRPr="00EB5CF0">
        <w:t xml:space="preserve"> relación con el objetivo del posgrado, es decir, </w:t>
      </w:r>
      <w:r w:rsidR="007E583D">
        <w:t>señalan</w:t>
      </w:r>
      <w:r w:rsidRPr="00EB5CF0">
        <w:t xml:space="preserve"> que en su gran mayoría no corresponden a temas de metodología de la ciencia y la tecnología y critican fuertemente que el hecho de incluir términos como “Metodología” o “Método” en los trabajos de tesis, éstos no se convierten en contenidos ad hoc con la Maestría, en específico se señala que la mayoría inciden en la línea de investigación de Educación; le sigue la línea de Historia y Filosofía de la Ciencia y por último la de Gestión Tecnológica; afirman que, incluyendo las de Educación, la mayoría abordaron temas alejados de lo que pudiera esperarse del posgrado. Sin embargo, el reporte de la revisión no establece cuales fueron los criterios para incluir las tesis en cada una de las líneas de investigación, ni tampoco qué se considera como ‘metodología de la ciencia y la tecnología’, o qué es ‘lo que pudiera esperarse’ de un programa así. Además debido al cambio en las orientaciones que tuvo la MCMC dentro del PESTyC y al objetivo que se llevó a cabo (coadyuvar al desarrollo de proyectos tanto internos como externos al IPN), es lógico que los trabajos de tesis tengan mayor similitud con un programa </w:t>
      </w:r>
      <w:r w:rsidRPr="00EB5CF0">
        <w:lastRenderedPageBreak/>
        <w:t>profesionalizante o con uno de investigació</w:t>
      </w:r>
      <w:r w:rsidR="00DB5DA7">
        <w:t>n, trabajos de tesis que refleja</w:t>
      </w:r>
      <w:r w:rsidRPr="00EB5CF0">
        <w:t>n as</w:t>
      </w:r>
      <w:r w:rsidR="00DB5DA7">
        <w:t>esoramiento en diferentes áreas, o que utilicen métodos específicos de acuerdo a la disciplina del autor.</w:t>
      </w:r>
    </w:p>
    <w:p w:rsidR="00356E67" w:rsidRPr="00EB5CF0" w:rsidRDefault="00356E67" w:rsidP="00E16642"/>
    <w:p w:rsidR="00356E67" w:rsidRPr="00EB5CF0" w:rsidRDefault="00356E67" w:rsidP="00E16642">
      <w:pPr>
        <w:rPr>
          <w:i/>
        </w:rPr>
      </w:pPr>
      <w:r w:rsidRPr="00EB5CF0">
        <w:t>A pesar de lo anterior, se presenta un dato relevante sobre los egresados, y es que el  22%</w:t>
      </w:r>
      <w:r w:rsidR="00141618">
        <w:t xml:space="preserve"> de los egresados de la MCMC</w:t>
      </w:r>
      <w:r w:rsidRPr="00EB5CF0">
        <w:t xml:space="preserve"> continuó estudios de doctorado, 24 en México y 3 en el extranjero, lo cual abre la posibilidad de considerar a</w:t>
      </w:r>
      <w:r w:rsidR="00141618">
        <w:t xml:space="preserve">l programa con una </w:t>
      </w:r>
      <w:r w:rsidRPr="00EB5CF0">
        <w:t>orientación a la investigación. De la misma evaluación se retoma la propuesta de que los maestrantes tomen cursos formativos de disciplinas específicas, ya sea dentro del mismo IPN o en otras entidades y se ve la ventaja de que esto permita profundizar en aspectos metodológicos, filosóficos, etc. de la disciplina que tienen como base.</w:t>
      </w:r>
      <w:r w:rsidR="007E583D">
        <w:t xml:space="preserve"> Esto da a notar la orientación de investigación que tiene la MCMC, es decir, la formación de investigadores.</w:t>
      </w:r>
    </w:p>
    <w:p w:rsidR="00C34217" w:rsidRDefault="00C34217" w:rsidP="00E16642">
      <w:bookmarkStart w:id="18" w:name="_Toc250459197"/>
    </w:p>
    <w:p w:rsidR="00C34217" w:rsidRDefault="00141618" w:rsidP="00E16642">
      <w:r>
        <w:t>En el siguiente año, 2003 la Comisión del Colegio de posgrado realizó una propuesta de reestructuración al plan de estudios de la MCMC, considerando las observaciones señaladas por la evaluación de Ledesma y Arellano presentada previamente</w:t>
      </w:r>
      <w:r w:rsidR="00425D5B">
        <w:t xml:space="preserve"> entre otras,</w:t>
      </w:r>
      <w:r>
        <w:t xml:space="preserve"> y es cuando se reconsidera de manera oficial la orientación de la Maestría y el perfil académico de la planta docente</w:t>
      </w:r>
      <w:r w:rsidR="00425D5B">
        <w:t xml:space="preserve">. </w:t>
      </w:r>
    </w:p>
    <w:p w:rsidR="00425D5B" w:rsidRDefault="00425D5B" w:rsidP="00E16642"/>
    <w:p w:rsidR="00425D5B" w:rsidRDefault="00425D5B" w:rsidP="00E16642">
      <w:r>
        <w:t>El objetivo que se postula tiene que ver con la formación de “profesionales especializados y capaces de reflexionar sobre las teorías científicas, aportando en la discusión de enfoques metodológicos vigentes”</w:t>
      </w:r>
      <w:sdt>
        <w:sdtPr>
          <w:id w:val="5190392"/>
          <w:citation/>
        </w:sdtPr>
        <w:sdtEndPr/>
        <w:sdtContent>
          <w:r w:rsidR="00B20C48">
            <w:fldChar w:fldCharType="begin"/>
          </w:r>
          <w:r w:rsidR="00B20C48">
            <w:instrText xml:space="preserve"> CITATION Com03 \p 19 \l 2058  </w:instrText>
          </w:r>
          <w:r w:rsidR="00B20C48">
            <w:fldChar w:fldCharType="separate"/>
          </w:r>
          <w:r>
            <w:rPr>
              <w:noProof/>
            </w:rPr>
            <w:t xml:space="preserve"> (Comisión del Colegio de Posgrado, 2003, pág. 19)</w:t>
          </w:r>
          <w:r w:rsidR="00B20C48">
            <w:rPr>
              <w:noProof/>
            </w:rPr>
            <w:fldChar w:fldCharType="end"/>
          </w:r>
        </w:sdtContent>
      </w:sdt>
      <w:r>
        <w:t>. En esta propuesta, se vincula el programa de estudios de la MCMC con la otra maestría impartida en el CIECAS (Política y Gestión del Cambio Tecnológico). Durante el trabajo de dicha Comisión, también se revisaron y actualizaron las materias del programa, se estipularon actividades complementarias tales como: asistencia y seguimiento de eventos nacionales e internacionales de carácter académico, científico y profesional. Además se definieron con mayor precisión las Líneas de Generación de Conocimiento que se tendrían en la Maestría considerando el perfil de los profesores.</w:t>
      </w:r>
    </w:p>
    <w:p w:rsidR="00C34217" w:rsidRPr="00EB5CF0" w:rsidRDefault="00C34217" w:rsidP="00E16642"/>
    <w:p w:rsidR="00356E67" w:rsidRPr="00EB5CF0" w:rsidRDefault="00425D5B" w:rsidP="00E16642">
      <w:r>
        <w:t>Sin embargo, c</w:t>
      </w:r>
      <w:r w:rsidR="00356E67" w:rsidRPr="00EB5CF0">
        <w:t>uando en 2004, se reabre la MCMC, la mayoría de los profesores se encontraban en estancias doctorales (aprovechando el receso que tuvo la maestría) y nuevamente hay un “préstamo” de docentes pero ahora los de la Maestría en Política y Gestión del Cambio Tecnológico adquieren cargos en la MCMC.</w:t>
      </w:r>
    </w:p>
    <w:p w:rsidR="00356E67" w:rsidRPr="00EB5CF0" w:rsidRDefault="00356E67" w:rsidP="00E16642"/>
    <w:p w:rsidR="00356E67" w:rsidRPr="00EB5CF0" w:rsidRDefault="00356E67" w:rsidP="00E16642">
      <w:r w:rsidRPr="00EB5CF0">
        <w:t>En esa reapertura, en ocasiones pareció que la MCMC seguía los objetivos del CIECAS, a saber, apoyo al sector económico en términos de orientación a las MIPYMES, la realización de investigación económica, administrativa y social en términos de investigación aplicada, y por tanto la orientación de la MCMC fue hacia la metodología de la investigación. Además de que se encontró eco de la primera motivación de la MCMC entre otro de los objetivos del CIECAS: ofrecer cursos a la comunidad politécnica para elevar su capacitación y competitividad</w:t>
      </w:r>
      <w:sdt>
        <w:sdtPr>
          <w:id w:val="2601026"/>
          <w:citation/>
        </w:sdtPr>
        <w:sdtEndPr/>
        <w:sdtContent>
          <w:r w:rsidR="0072146B" w:rsidRPr="00EB5CF0">
            <w:fldChar w:fldCharType="begin"/>
          </w:r>
          <w:r w:rsidRPr="00EB5CF0">
            <w:instrText xml:space="preserve"> CITATION Gue96 \l 2058 </w:instrText>
          </w:r>
          <w:r w:rsidR="0072146B" w:rsidRPr="00EB5CF0">
            <w:fldChar w:fldCharType="separate"/>
          </w:r>
          <w:r w:rsidRPr="00EB5CF0">
            <w:rPr>
              <w:noProof/>
            </w:rPr>
            <w:t xml:space="preserve"> (Guerra Rodríguez, 1996)</w:t>
          </w:r>
          <w:r w:rsidR="0072146B" w:rsidRPr="00EB5CF0">
            <w:fldChar w:fldCharType="end"/>
          </w:r>
        </w:sdtContent>
      </w:sdt>
      <w:r w:rsidRPr="00EB5CF0">
        <w:t xml:space="preserve"> acerca de formar al personal docente del IPN en materias del método científico.</w:t>
      </w:r>
    </w:p>
    <w:p w:rsidR="00356E67" w:rsidRPr="00EB5CF0" w:rsidRDefault="00356E67" w:rsidP="00E16642"/>
    <w:p w:rsidR="00356E67" w:rsidRPr="00EB5CF0" w:rsidRDefault="00356E67" w:rsidP="00E16642">
      <w:r w:rsidRPr="00EB5CF0">
        <w:t xml:space="preserve">En el 2005 inicia el periodo del Dr. Mario Sánchez Silva como director del CIECAS </w:t>
      </w:r>
      <w:sdt>
        <w:sdtPr>
          <w:id w:val="3686931"/>
          <w:citation/>
        </w:sdtPr>
        <w:sdtEndPr/>
        <w:sdtContent>
          <w:r w:rsidR="0072146B" w:rsidRPr="00EB5CF0">
            <w:fldChar w:fldCharType="begin"/>
          </w:r>
          <w:r w:rsidRPr="00EB5CF0">
            <w:instrText xml:space="preserve"> CITATION Lóp06 \l 2058 </w:instrText>
          </w:r>
          <w:r w:rsidR="0072146B" w:rsidRPr="00EB5CF0">
            <w:fldChar w:fldCharType="separate"/>
          </w:r>
          <w:r w:rsidRPr="00EB5CF0">
            <w:rPr>
              <w:noProof/>
            </w:rPr>
            <w:t>(López Guardado, 2006)</w:t>
          </w:r>
          <w:r w:rsidR="0072146B" w:rsidRPr="00EB5CF0">
            <w:fldChar w:fldCharType="end"/>
          </w:r>
        </w:sdtContent>
      </w:sdt>
      <w:r w:rsidRPr="00EB5CF0">
        <w:t xml:space="preserve">. De 2006 a 2009 se inscribieron 335 estudiantes a la MCMC y fueron sustentadas 186 tesis, con 34 menciones honoríficas y premios en el concurso anual de la SIP. En cuanto al seguimiento de </w:t>
      </w:r>
      <w:r w:rsidR="007E583D">
        <w:t xml:space="preserve">la trayectoria de </w:t>
      </w:r>
      <w:r w:rsidRPr="00EB5CF0">
        <w:t xml:space="preserve">egresados, 72 </w:t>
      </w:r>
      <w:proofErr w:type="spellStart"/>
      <w:r w:rsidRPr="00EB5CF0">
        <w:t>exalumnos</w:t>
      </w:r>
      <w:proofErr w:type="spellEnd"/>
      <w:r w:rsidRPr="00EB5CF0">
        <w:t xml:space="preserve"> tienen o están por concluir estudios de doctorado en instituciones mexicanas como la UNAM, el CINVESTAV y en el extranjero como en España  y Estados Unidos</w:t>
      </w:r>
      <w:sdt>
        <w:sdtPr>
          <w:id w:val="60224378"/>
          <w:citation/>
        </w:sdtPr>
        <w:sdtEndPr/>
        <w:sdtContent>
          <w:r w:rsidR="0072146B" w:rsidRPr="00EB5CF0">
            <w:fldChar w:fldCharType="begin"/>
          </w:r>
          <w:r w:rsidRPr="00EB5CF0">
            <w:instrText xml:space="preserve"> CITATION CIE101 \t  \l 2058  </w:instrText>
          </w:r>
          <w:r w:rsidR="0072146B" w:rsidRPr="00EB5CF0">
            <w:fldChar w:fldCharType="separate"/>
          </w:r>
          <w:r w:rsidRPr="00EB5CF0">
            <w:rPr>
              <w:noProof/>
            </w:rPr>
            <w:t xml:space="preserve"> (CIECAS, 2010a)</w:t>
          </w:r>
          <w:r w:rsidR="0072146B" w:rsidRPr="00EB5CF0">
            <w:fldChar w:fldCharType="end"/>
          </w:r>
        </w:sdtContent>
      </w:sdt>
      <w:r w:rsidRPr="00EB5CF0">
        <w:t xml:space="preserve">.  </w:t>
      </w:r>
    </w:p>
    <w:p w:rsidR="00356E67" w:rsidRPr="00EB5CF0" w:rsidRDefault="00356E67" w:rsidP="00E16642"/>
    <w:p w:rsidR="00356E67" w:rsidRDefault="00C24301" w:rsidP="00E16642">
      <w:r>
        <w:t>En</w:t>
      </w:r>
      <w:r w:rsidR="00356E67" w:rsidRPr="00EB5CF0">
        <w:t xml:space="preserve"> 2007-2009 fue </w:t>
      </w:r>
      <w:r>
        <w:t xml:space="preserve">el </w:t>
      </w:r>
      <w:r w:rsidR="00356E67" w:rsidRPr="00EB5CF0">
        <w:t xml:space="preserve">periodo en el que se dieron </w:t>
      </w:r>
      <w:r w:rsidR="00425D5B">
        <w:t xml:space="preserve">(siguieron) </w:t>
      </w:r>
      <w:r w:rsidR="00356E67" w:rsidRPr="00EB5CF0">
        <w:t>varios cambios en la coordinación y en la pertenencia de los maestros entre las dos maestrías, la que se está tratando en este capítulo y la de Política y Gestión del Cambio Tecnológico.</w:t>
      </w:r>
    </w:p>
    <w:p w:rsidR="00970826" w:rsidRDefault="00970826" w:rsidP="00E16642"/>
    <w:p w:rsidR="00356E67" w:rsidRDefault="003B4979" w:rsidP="00E16642">
      <w:pPr>
        <w:rPr>
          <w:rStyle w:val="nfasissutil"/>
          <w:rFonts w:ascii="Arial" w:hAnsi="Arial" w:cs="Arial"/>
          <w:b w:val="0"/>
          <w:i w:val="0"/>
          <w:color w:val="auto"/>
          <w:sz w:val="24"/>
          <w:szCs w:val="24"/>
        </w:rPr>
      </w:pPr>
      <w:r>
        <w:rPr>
          <w:rStyle w:val="nfasissutil"/>
          <w:rFonts w:ascii="Arial" w:hAnsi="Arial" w:cs="Arial"/>
          <w:b w:val="0"/>
          <w:i w:val="0"/>
          <w:color w:val="auto"/>
          <w:sz w:val="24"/>
          <w:szCs w:val="24"/>
        </w:rPr>
        <w:lastRenderedPageBreak/>
        <w:t>Asimismo, e</w:t>
      </w:r>
      <w:r w:rsidR="00970826" w:rsidRPr="00970826">
        <w:rPr>
          <w:rStyle w:val="nfasissutil"/>
          <w:rFonts w:ascii="Arial" w:hAnsi="Arial" w:cs="Arial"/>
          <w:b w:val="0"/>
          <w:i w:val="0"/>
          <w:color w:val="auto"/>
          <w:sz w:val="24"/>
          <w:szCs w:val="24"/>
        </w:rPr>
        <w:t xml:space="preserve">n </w:t>
      </w:r>
      <w:r w:rsidR="00970826">
        <w:rPr>
          <w:rStyle w:val="nfasissutil"/>
          <w:rFonts w:ascii="Arial" w:hAnsi="Arial" w:cs="Arial"/>
          <w:b w:val="0"/>
          <w:i w:val="0"/>
          <w:color w:val="auto"/>
          <w:sz w:val="24"/>
          <w:szCs w:val="24"/>
        </w:rPr>
        <w:t>este periodo, el objetivo establecido de la MCMC fue proporcionar una formación actualizada de discusiones teóricas y metodológicas en torno a la ciencia</w:t>
      </w:r>
      <w:r w:rsidR="004640D5">
        <w:rPr>
          <w:rStyle w:val="nfasissutil"/>
          <w:rFonts w:ascii="Arial" w:hAnsi="Arial" w:cs="Arial"/>
          <w:b w:val="0"/>
          <w:i w:val="0"/>
          <w:color w:val="auto"/>
          <w:sz w:val="24"/>
          <w:szCs w:val="24"/>
        </w:rPr>
        <w:t xml:space="preserve"> y en cuanto a instrumentos de medición y herramientas para abordar, discutir y proponer soluciones a los impactos de l</w:t>
      </w:r>
      <w:r w:rsidR="00425D5B">
        <w:rPr>
          <w:rStyle w:val="nfasissutil"/>
          <w:rFonts w:ascii="Arial" w:hAnsi="Arial" w:cs="Arial"/>
          <w:b w:val="0"/>
          <w:i w:val="0"/>
          <w:color w:val="auto"/>
          <w:sz w:val="24"/>
          <w:szCs w:val="24"/>
        </w:rPr>
        <w:t>a ciencia y la tecnología; además seguían estipuladas las mismas Líneas de Generación de Conocimiento</w:t>
      </w:r>
      <w:r w:rsidR="00205790">
        <w:rPr>
          <w:rStyle w:val="nfasissutil"/>
          <w:rFonts w:ascii="Arial" w:hAnsi="Arial" w:cs="Arial"/>
          <w:b w:val="0"/>
          <w:i w:val="0"/>
          <w:color w:val="auto"/>
          <w:sz w:val="24"/>
          <w:szCs w:val="24"/>
        </w:rPr>
        <w:t xml:space="preserve">. </w:t>
      </w:r>
      <w:r w:rsidR="00205790" w:rsidRPr="00260E6A">
        <w:t>Las asignaturas estaban di</w:t>
      </w:r>
      <w:r w:rsidR="00205790">
        <w:t>rigidas a analizar aportes de cada una de las disciplinas en el campo de los métodos de investigación, los seminarios a la elaboración del trabajo de tesis y las optativas a coadyuvar en la formación de acuerdo al tema de tesis</w:t>
      </w:r>
      <w:r w:rsidR="00425D5B">
        <w:rPr>
          <w:rStyle w:val="nfasissutil"/>
          <w:rFonts w:ascii="Arial" w:hAnsi="Arial" w:cs="Arial"/>
          <w:b w:val="0"/>
          <w:i w:val="0"/>
          <w:color w:val="auto"/>
          <w:sz w:val="24"/>
          <w:szCs w:val="24"/>
        </w:rPr>
        <w:t xml:space="preserve"> </w:t>
      </w:r>
      <w:sdt>
        <w:sdtPr>
          <w:rPr>
            <w:rStyle w:val="nfasissutil"/>
            <w:rFonts w:ascii="Arial" w:hAnsi="Arial" w:cs="Arial"/>
            <w:b w:val="0"/>
            <w:i w:val="0"/>
            <w:color w:val="auto"/>
            <w:sz w:val="24"/>
            <w:szCs w:val="24"/>
          </w:rPr>
          <w:id w:val="5188903"/>
          <w:citation/>
        </w:sdtPr>
        <w:sdtEndPr>
          <w:rPr>
            <w:rStyle w:val="nfasissutil"/>
          </w:rPr>
        </w:sdtEndPr>
        <w:sdtContent>
          <w:r w:rsidR="0072146B">
            <w:rPr>
              <w:rStyle w:val="nfasissutil"/>
              <w:rFonts w:ascii="Arial" w:hAnsi="Arial" w:cs="Arial"/>
              <w:b w:val="0"/>
              <w:i w:val="0"/>
              <w:color w:val="auto"/>
              <w:sz w:val="24"/>
              <w:szCs w:val="24"/>
            </w:rPr>
            <w:fldChar w:fldCharType="begin"/>
          </w:r>
          <w:r w:rsidR="004640D5">
            <w:rPr>
              <w:rStyle w:val="nfasissutil"/>
              <w:rFonts w:ascii="Arial" w:hAnsi="Arial" w:cs="Arial"/>
              <w:b w:val="0"/>
              <w:i w:val="0"/>
              <w:color w:val="auto"/>
              <w:sz w:val="24"/>
              <w:szCs w:val="24"/>
            </w:rPr>
            <w:instrText xml:space="preserve"> CITATION Com03 \l 2058 </w:instrText>
          </w:r>
          <w:r w:rsidR="0072146B">
            <w:rPr>
              <w:rStyle w:val="nfasissutil"/>
              <w:rFonts w:ascii="Arial" w:hAnsi="Arial" w:cs="Arial"/>
              <w:b w:val="0"/>
              <w:i w:val="0"/>
              <w:color w:val="auto"/>
              <w:sz w:val="24"/>
              <w:szCs w:val="24"/>
            </w:rPr>
            <w:fldChar w:fldCharType="separate"/>
          </w:r>
          <w:r w:rsidR="004640D5" w:rsidRPr="004640D5">
            <w:rPr>
              <w:rFonts w:cs="Arial"/>
              <w:noProof/>
              <w:szCs w:val="24"/>
            </w:rPr>
            <w:t>(Comisión del Colegio de Posgrado, 2003)</w:t>
          </w:r>
          <w:r w:rsidR="0072146B">
            <w:rPr>
              <w:rStyle w:val="nfasissutil"/>
              <w:rFonts w:ascii="Arial" w:hAnsi="Arial" w:cs="Arial"/>
              <w:b w:val="0"/>
              <w:i w:val="0"/>
              <w:color w:val="auto"/>
              <w:sz w:val="24"/>
              <w:szCs w:val="24"/>
            </w:rPr>
            <w:fldChar w:fldCharType="end"/>
          </w:r>
        </w:sdtContent>
      </w:sdt>
      <w:r w:rsidR="004640D5">
        <w:rPr>
          <w:rStyle w:val="nfasissutil"/>
          <w:rFonts w:ascii="Arial" w:hAnsi="Arial" w:cs="Arial"/>
          <w:b w:val="0"/>
          <w:i w:val="0"/>
          <w:color w:val="auto"/>
          <w:sz w:val="24"/>
          <w:szCs w:val="24"/>
        </w:rPr>
        <w:t>.</w:t>
      </w:r>
      <w:r w:rsidR="00260E6A">
        <w:rPr>
          <w:rStyle w:val="nfasissutil"/>
          <w:rFonts w:ascii="Arial" w:hAnsi="Arial" w:cs="Arial"/>
          <w:b w:val="0"/>
          <w:i w:val="0"/>
          <w:color w:val="auto"/>
          <w:sz w:val="24"/>
          <w:szCs w:val="24"/>
        </w:rPr>
        <w:t xml:space="preserve"> </w:t>
      </w:r>
    </w:p>
    <w:p w:rsidR="00425D5B" w:rsidRDefault="00425D5B" w:rsidP="00E16642"/>
    <w:p w:rsidR="00141618" w:rsidRDefault="00141618" w:rsidP="00E16642">
      <w:r>
        <w:t>Como alumna de la generación de 2007-2009, presento</w:t>
      </w:r>
      <w:r>
        <w:rPr>
          <w:rStyle w:val="Refdenotaalpie"/>
        </w:rPr>
        <w:footnoteReference w:id="12"/>
      </w:r>
      <w:r>
        <w:t xml:space="preserve"> en este espacio la perspectiva que viví de la maestría</w:t>
      </w:r>
      <w:r w:rsidR="00205790">
        <w:t xml:space="preserve">. </w:t>
      </w:r>
      <w:r w:rsidR="003B4979">
        <w:t xml:space="preserve">Al inicio de los cursos noté que seguía la idea de que los profesores del IPN eran, en gran número, </w:t>
      </w:r>
      <w:r w:rsidR="00C05449">
        <w:t>candidatos a cursar el programa (cubrían el perfil de ingreso),</w:t>
      </w:r>
      <w:r w:rsidR="003B4979">
        <w:t xml:space="preserve"> varios de mis compañeros ejercían labores de docencia en diferentes unidades académicas del Instituto</w:t>
      </w:r>
      <w:r w:rsidR="000D4508">
        <w:t xml:space="preserve"> (aunque ninguno de ellos cubrió el total de  créditos)</w:t>
      </w:r>
      <w:r w:rsidR="003B4979">
        <w:t xml:space="preserve">. </w:t>
      </w:r>
      <w:r w:rsidR="000D4508">
        <w:t>Cursé las materias establecidas en el programa: Historia de la ciencia, Epistemología, Métodos de investigación científica y Seminario de tesis en el primer semestre. Las primeras estuvieron dirigidas al estudio de la ciencia en general, sin embargo, no derivó en el análisis del desarrollo científico de</w:t>
      </w:r>
      <w:r w:rsidR="00C05449">
        <w:t>ntro de</w:t>
      </w:r>
      <w:r w:rsidR="000D4508">
        <w:t xml:space="preserve"> las disciplinas en las que estábamos formados los estudiantes, cuestión que considero de suma importancia de acuerdo a la orientación de metodología de la ciencia que se estipul</w:t>
      </w:r>
      <w:r w:rsidR="00A2561A">
        <w:t>aba en el objetivo del progr</w:t>
      </w:r>
      <w:r w:rsidR="00C05449">
        <w:t>ama, pero que finalizó dirigiéndose a la noción de metodología desde la ciencia unificada</w:t>
      </w:r>
      <w:r w:rsidR="00A2561A">
        <w:t>.</w:t>
      </w:r>
      <w:r w:rsidR="000D4508">
        <w:t xml:space="preserve"> En el segundo</w:t>
      </w:r>
      <w:r w:rsidR="000D7FC7">
        <w:t xml:space="preserve"> y tercer</w:t>
      </w:r>
      <w:r w:rsidR="000D4508">
        <w:t xml:space="preserve"> semestre, sucedió lo mismo con las asignaturas de</w:t>
      </w:r>
      <w:r w:rsidR="000D7FC7">
        <w:t xml:space="preserve"> Sistemas complejos, Métodos de comprobación,</w:t>
      </w:r>
      <w:r w:rsidR="000D4508">
        <w:t xml:space="preserve"> Sociología de la ciencia, Filosofía de la ciencia y la tecnología y Metodol</w:t>
      </w:r>
      <w:r w:rsidR="00C05449">
        <w:t>ogía de la investigación social, una carga hacia la metodología desde la perspectiva de la ciencia unificada.</w:t>
      </w:r>
      <w:r w:rsidR="000D4508">
        <w:t xml:space="preserve"> </w:t>
      </w:r>
      <w:r w:rsidR="000D7FC7">
        <w:t xml:space="preserve">Las materias optativas fueron elegidas de acuerdo a las que podían </w:t>
      </w:r>
      <w:r w:rsidR="000D7FC7">
        <w:lastRenderedPageBreak/>
        <w:t>abrirse de acuerdo a la planta académica con que se contaba en el CIECAS, en lugar de la necesidad que como alumnos teníamos, motivo por lo que mi segunda optativa la cursé en el Instituto de Investigaciones Filosóficas en la UNAM</w:t>
      </w:r>
      <w:r w:rsidR="00C05449">
        <w:t xml:space="preserve"> (mis otros compañeros decidieron tomar su optativa en la Facultad de Psicología de la UNAM y en el programa de Maestría en Política y Gestión del Cambio Tecnológico impartida en el mismo CIECAS)</w:t>
      </w:r>
      <w:r w:rsidR="000D7FC7">
        <w:t xml:space="preserve">. </w:t>
      </w:r>
      <w:r w:rsidR="000D4508">
        <w:t>En cuanto a los cursos de Seminario de tesis, el primero estuvo dirigido a la formulación del protoco</w:t>
      </w:r>
      <w:r w:rsidR="000D7FC7">
        <w:t>lo de investigación y los demás, se trabajaron de acuerdo a los profesores colegiados asignados a cada estudiante.</w:t>
      </w:r>
      <w:r w:rsidR="00874A48">
        <w:t xml:space="preserve"> </w:t>
      </w:r>
    </w:p>
    <w:p w:rsidR="00205790" w:rsidRDefault="00205790" w:rsidP="00E16642"/>
    <w:p w:rsidR="00356E67" w:rsidRPr="00260E6A" w:rsidRDefault="00356E67" w:rsidP="00E16642">
      <w:r w:rsidRPr="00EB5CF0">
        <w:t xml:space="preserve">En el 2007, de acuerdo con la Sesión XI extraordinaria del 18 de mayo impartirían materias en la MCMC, Humberto Monteón y Rolando Jiménez Domínguez, quienes venían participando en el programa desde su presencia en el PESTyC; además Fernando García Córdoba, Miguel Ángel Vite Pérez, Jesús Gerardo Muñoz </w:t>
      </w:r>
      <w:proofErr w:type="spellStart"/>
      <w:r w:rsidRPr="00EB5CF0">
        <w:t>Bandala</w:t>
      </w:r>
      <w:proofErr w:type="spellEnd"/>
      <w:r w:rsidRPr="00EB5CF0">
        <w:t xml:space="preserve">, Esperanza Lozoya Meza y se incorporó al final </w:t>
      </w:r>
      <w:proofErr w:type="spellStart"/>
      <w:r w:rsidRPr="00EB5CF0">
        <w:t>Mijael</w:t>
      </w:r>
      <w:proofErr w:type="spellEnd"/>
      <w:r w:rsidRPr="00EB5CF0">
        <w:t xml:space="preserve"> Altamirano Santiago.</w:t>
      </w:r>
      <w:r w:rsidR="004D5C4B">
        <w:t xml:space="preserve"> </w:t>
      </w:r>
      <w:r w:rsidRPr="00EB5CF0">
        <w:t>En el 2008</w:t>
      </w:r>
      <w:r w:rsidRPr="00EB5CF0">
        <w:rPr>
          <w:rStyle w:val="Refdenotaalpie"/>
          <w:rFonts w:cs="Arial"/>
          <w:szCs w:val="24"/>
        </w:rPr>
        <w:footnoteReference w:id="13"/>
      </w:r>
      <w:r w:rsidR="00DF4A3F">
        <w:t xml:space="preserve"> continuaron los mencionados y</w:t>
      </w:r>
      <w:r w:rsidR="004D5C4B">
        <w:t xml:space="preserve"> se integraron</w:t>
      </w:r>
      <w:r w:rsidRPr="00EB5CF0">
        <w:rPr>
          <w:lang w:val="fr-FR"/>
        </w:rPr>
        <w:t xml:space="preserve"> </w:t>
      </w:r>
      <w:r w:rsidRPr="00EB5CF0">
        <w:t xml:space="preserve">José Benjamín Méndez Bahena y </w:t>
      </w:r>
      <w:r w:rsidRPr="00EB5CF0">
        <w:rPr>
          <w:lang w:val="fr-FR"/>
        </w:rPr>
        <w:t>Pedro Mendoza Acosta.</w:t>
      </w:r>
      <w:r w:rsidR="004D5C4B" w:rsidRPr="00260E6A">
        <w:t xml:space="preserve"> Sin embargo, la mayoría también tenía cargos en la otra maestría.</w:t>
      </w:r>
    </w:p>
    <w:p w:rsidR="00DB5DA7" w:rsidRDefault="00DB5DA7" w:rsidP="00E16642"/>
    <w:p w:rsidR="00356E67" w:rsidRPr="00EB5CF0" w:rsidRDefault="00356E67" w:rsidP="00E16642">
      <w:pPr>
        <w:rPr>
          <w:rStyle w:val="nfasissutil"/>
          <w:rFonts w:ascii="Arial" w:hAnsi="Arial" w:cs="Arial"/>
          <w:sz w:val="24"/>
          <w:szCs w:val="24"/>
        </w:rPr>
      </w:pPr>
      <w:r w:rsidRPr="00260E6A">
        <w:t xml:space="preserve">En estos años </w:t>
      </w:r>
      <w:r w:rsidR="00DF4A3F" w:rsidRPr="00260E6A">
        <w:t>la coordinación también cambió: tuvo el cargo</w:t>
      </w:r>
      <w:r w:rsidRPr="00260E6A">
        <w:t xml:space="preserve"> </w:t>
      </w:r>
      <w:r w:rsidR="000D7FC7">
        <w:t>Aída María Castañeda Rodríguez Cabo</w:t>
      </w:r>
      <w:r w:rsidR="00874A48">
        <w:t xml:space="preserve"> (quien tuvo un receso en el programa)</w:t>
      </w:r>
      <w:r w:rsidR="000D7FC7">
        <w:t xml:space="preserve">, </w:t>
      </w:r>
      <w:r w:rsidRPr="00260E6A">
        <w:t>Pedro Mendoza Acosta y luego Luis Mauricio Rodríguez S</w:t>
      </w:r>
      <w:r w:rsidRPr="00EB5CF0">
        <w:t>alazar</w:t>
      </w:r>
      <w:r w:rsidR="00141618">
        <w:t>; t</w:t>
      </w:r>
      <w:r w:rsidRPr="00EB5CF0">
        <w:t xml:space="preserve">ambién así la dirección del CIECAS de Carlos Gómez </w:t>
      </w:r>
      <w:proofErr w:type="spellStart"/>
      <w:r w:rsidRPr="00EB5CF0">
        <w:t>Chiñas</w:t>
      </w:r>
      <w:proofErr w:type="spellEnd"/>
      <w:r w:rsidRPr="00EB5CF0">
        <w:t xml:space="preserve"> </w:t>
      </w:r>
      <w:r w:rsidR="00874A48">
        <w:t xml:space="preserve">cambió </w:t>
      </w:r>
      <w:r w:rsidRPr="00EB5CF0">
        <w:t>por</w:t>
      </w:r>
      <w:r w:rsidR="00874A48">
        <w:t xml:space="preserve"> la de</w:t>
      </w:r>
      <w:r w:rsidRPr="00EB5CF0">
        <w:t xml:space="preserve"> Mario Sánchez Silv</w:t>
      </w:r>
      <w:r w:rsidR="00DF4A3F">
        <w:t>a.</w:t>
      </w:r>
    </w:p>
    <w:p w:rsidR="00356E67" w:rsidRPr="00EB5CF0" w:rsidRDefault="00356E67" w:rsidP="00E16642"/>
    <w:p w:rsidR="00356E67" w:rsidRPr="00EB5CF0" w:rsidRDefault="00356E67" w:rsidP="00E16642">
      <w:r w:rsidRPr="00EB5CF0">
        <w:t>Para el ingreso de la generación 2008-2010 la academia de metodología estaba compuesta por el</w:t>
      </w:r>
      <w:r w:rsidR="004D5C4B">
        <w:t xml:space="preserve"> nuevo</w:t>
      </w:r>
      <w:r w:rsidRPr="00EB5CF0">
        <w:t xml:space="preserve"> director del CIECAS</w:t>
      </w:r>
      <w:r w:rsidR="004D5C4B">
        <w:t>:</w:t>
      </w:r>
      <w:r w:rsidRPr="00EB5CF0">
        <w:t xml:space="preserve"> Mario Sánchez Silva, </w:t>
      </w:r>
      <w:r w:rsidR="004D5C4B">
        <w:t>el cuerpo académico continuó siendo el mismo con dos incorporaciones: Carolina Manrique Nava y</w:t>
      </w:r>
      <w:r w:rsidRPr="00EB5CF0">
        <w:t xml:space="preserve"> </w:t>
      </w:r>
      <w:r w:rsidR="00874A48">
        <w:t xml:space="preserve">el regreso de </w:t>
      </w:r>
      <w:r w:rsidRPr="00EB5CF0">
        <w:t>Aída María C</w:t>
      </w:r>
      <w:r w:rsidR="00874A48">
        <w:t>astañeda Rodríguez Cabo</w:t>
      </w:r>
      <w:r w:rsidRPr="00EB5CF0">
        <w:t xml:space="preserve"> </w:t>
      </w:r>
      <w:sdt>
        <w:sdtPr>
          <w:id w:val="4283516"/>
          <w:citation/>
        </w:sdtPr>
        <w:sdtEndPr/>
        <w:sdtContent>
          <w:r w:rsidR="0072146B" w:rsidRPr="00EB5CF0">
            <w:fldChar w:fldCharType="begin"/>
          </w:r>
          <w:r w:rsidRPr="00EB5CF0">
            <w:instrText xml:space="preserve"> CITATION CIE07 \l 2058 </w:instrText>
          </w:r>
          <w:r w:rsidR="0072146B" w:rsidRPr="00EB5CF0">
            <w:fldChar w:fldCharType="separate"/>
          </w:r>
          <w:r w:rsidRPr="00EB5CF0">
            <w:rPr>
              <w:noProof/>
            </w:rPr>
            <w:t>(CIECAS, 2007)</w:t>
          </w:r>
          <w:r w:rsidR="0072146B" w:rsidRPr="00EB5CF0">
            <w:fldChar w:fldCharType="end"/>
          </w:r>
        </w:sdtContent>
      </w:sdt>
      <w:r w:rsidRPr="00EB5CF0">
        <w:t>.</w:t>
      </w:r>
    </w:p>
    <w:p w:rsidR="00356E67" w:rsidRPr="00EB5CF0" w:rsidRDefault="00356E67" w:rsidP="00E16642"/>
    <w:p w:rsidR="00356E67" w:rsidRDefault="00356E67" w:rsidP="00E16642">
      <w:r w:rsidRPr="00EB5CF0">
        <w:lastRenderedPageBreak/>
        <w:t>En Febrero  de 2009 es nombrado el Dr. Onofre Rojo Asenjo Coordinador de la MCMC</w:t>
      </w:r>
      <w:sdt>
        <w:sdtPr>
          <w:id w:val="60224381"/>
          <w:citation/>
        </w:sdtPr>
        <w:sdtEndPr/>
        <w:sdtContent>
          <w:r w:rsidR="0072146B" w:rsidRPr="00EB5CF0">
            <w:fldChar w:fldCharType="begin"/>
          </w:r>
          <w:r w:rsidRPr="00EB5CF0">
            <w:instrText xml:space="preserve"> CITATION CIE092 \l 2058 </w:instrText>
          </w:r>
          <w:r w:rsidR="0072146B" w:rsidRPr="00EB5CF0">
            <w:fldChar w:fldCharType="separate"/>
          </w:r>
          <w:r w:rsidRPr="00EB5CF0">
            <w:rPr>
              <w:noProof/>
            </w:rPr>
            <w:t xml:space="preserve"> (H. Colegio de Profesores del CIECAS, 2009)</w:t>
          </w:r>
          <w:r w:rsidR="0072146B" w:rsidRPr="00EB5CF0">
            <w:fldChar w:fldCharType="end"/>
          </w:r>
        </w:sdtContent>
      </w:sdt>
      <w:r w:rsidRPr="00EB5CF0">
        <w:t xml:space="preserve"> y la academia de metodología estaba formada por algunos integrantes del año anterior Mario Sánchez Silva, Humberto </w:t>
      </w:r>
      <w:proofErr w:type="spellStart"/>
      <w:r w:rsidRPr="00EB5CF0">
        <w:t>Monteón</w:t>
      </w:r>
      <w:proofErr w:type="spellEnd"/>
      <w:r w:rsidRPr="00EB5CF0">
        <w:t xml:space="preserve">, quien ahora era decano del CIECAS, Jesús Gerardo Muñoz </w:t>
      </w:r>
      <w:proofErr w:type="spellStart"/>
      <w:r w:rsidRPr="00EB5CF0">
        <w:t>Bandala</w:t>
      </w:r>
      <w:proofErr w:type="spellEnd"/>
      <w:r w:rsidRPr="00EB5CF0">
        <w:t xml:space="preserve">, Esperanza Lozoya Meza, Luis Mauricio Rodríguez Salazar, y se reincorporó Ángel Eduardo Vargas Garza, además estaban Carolina Manrique Nava, Aída María Castañeda Rodríguez Cabo, Sofía Alvarado Benavides, Humberto Ponce </w:t>
      </w:r>
      <w:proofErr w:type="spellStart"/>
      <w:r w:rsidRPr="00EB5CF0">
        <w:t>Talancón</w:t>
      </w:r>
      <w:proofErr w:type="spellEnd"/>
      <w:r w:rsidRPr="00EB5CF0">
        <w:t xml:space="preserve"> y Juan González García (Subdirector de investigación del CIECAS, con el objetivo de reestructurar la MCMC con miras a su inscripción en el PNPC del </w:t>
      </w:r>
      <w:proofErr w:type="spellStart"/>
      <w:r w:rsidRPr="00EB5CF0">
        <w:t>CONACyT</w:t>
      </w:r>
      <w:proofErr w:type="spellEnd"/>
      <w:sdt>
        <w:sdtPr>
          <w:id w:val="60224385"/>
          <w:citation/>
        </w:sdtPr>
        <w:sdtEndPr/>
        <w:sdtContent>
          <w:r w:rsidR="0072146B" w:rsidRPr="00EB5CF0">
            <w:fldChar w:fldCharType="begin"/>
          </w:r>
          <w:r w:rsidRPr="00EB5CF0">
            <w:instrText xml:space="preserve"> CITATION Rod09 \l 2058 </w:instrText>
          </w:r>
          <w:r w:rsidR="0072146B" w:rsidRPr="00EB5CF0">
            <w:fldChar w:fldCharType="separate"/>
          </w:r>
          <w:r w:rsidRPr="00EB5CF0">
            <w:rPr>
              <w:noProof/>
            </w:rPr>
            <w:t xml:space="preserve"> (Rodríguez Salazar, 2009)</w:t>
          </w:r>
          <w:r w:rsidR="0072146B" w:rsidRPr="00EB5CF0">
            <w:fldChar w:fldCharType="end"/>
          </w:r>
        </w:sdtContent>
      </w:sdt>
      <w:r w:rsidR="00C05449">
        <w:t>; pareciera que se trataba de dotar nuevamente de un cuerpo docente propio al programa de MCMC</w:t>
      </w:r>
      <w:r w:rsidRPr="00EB5CF0">
        <w:t>.</w:t>
      </w:r>
      <w:r w:rsidR="00874A48">
        <w:t xml:space="preserve"> En ese mismo año </w:t>
      </w:r>
      <w:r w:rsidRPr="00EB5CF0">
        <w:t>se constituyó una Comisión</w:t>
      </w:r>
      <w:r w:rsidRPr="00EB5CF0">
        <w:rPr>
          <w:rStyle w:val="Refdenotaalpie"/>
          <w:rFonts w:cs="Arial"/>
          <w:szCs w:val="24"/>
        </w:rPr>
        <w:footnoteReference w:id="14"/>
      </w:r>
      <w:r w:rsidRPr="00EB5CF0">
        <w:t xml:space="preserve"> para evaluar la Maestría a petición del </w:t>
      </w:r>
      <w:bookmarkEnd w:id="18"/>
      <w:r w:rsidRPr="00EB5CF0">
        <w:t>Director de Posgrado de la Secretaría de Investigación y Posgrado del IPN, Dr. José Guadalupe Trujillo Ferrara</w:t>
      </w:r>
      <w:sdt>
        <w:sdtPr>
          <w:id w:val="11199631"/>
          <w:citation/>
        </w:sdtPr>
        <w:sdtEndPr/>
        <w:sdtContent>
          <w:r w:rsidR="00B20C48">
            <w:fldChar w:fldCharType="begin"/>
          </w:r>
          <w:r w:rsidR="00B20C48">
            <w:instrText xml:space="preserve"> CITATION Gon09 \l 2058 </w:instrText>
          </w:r>
          <w:r w:rsidR="00B20C48">
            <w:fldChar w:fldCharType="separate"/>
          </w:r>
          <w:r w:rsidRPr="00EB5CF0">
            <w:rPr>
              <w:noProof/>
            </w:rPr>
            <w:t xml:space="preserve"> (González García, Mendoza Acosta, &amp; Merrit Tapia, 2009)</w:t>
          </w:r>
          <w:r w:rsidR="00B20C48">
            <w:rPr>
              <w:noProof/>
            </w:rPr>
            <w:fldChar w:fldCharType="end"/>
          </w:r>
        </w:sdtContent>
      </w:sdt>
      <w:r w:rsidRPr="00EB5CF0">
        <w:t xml:space="preserve">. </w:t>
      </w:r>
    </w:p>
    <w:p w:rsidR="00874A48" w:rsidRPr="00EB5CF0" w:rsidRDefault="00874A48" w:rsidP="00E16642"/>
    <w:p w:rsidR="00356E67" w:rsidRPr="00EB5CF0" w:rsidRDefault="00356E67" w:rsidP="00E16642">
      <w:r w:rsidRPr="00EB5CF0">
        <w:t>Onofre Rojo continuaba como coor</w:t>
      </w:r>
      <w:r w:rsidR="00874A48">
        <w:t xml:space="preserve">dinador de la MCMC en el CIECAS, y se abrió la convocatoria de ingreso para la generación 2010-2012. En esta ocasión el </w:t>
      </w:r>
      <w:r w:rsidRPr="00EB5CF0">
        <w:t xml:space="preserve"> cuerpo académico</w:t>
      </w:r>
      <w:r w:rsidR="00874A48">
        <w:t xml:space="preserve"> de la maestría lo conformaban, algunos profesores de periodos anteriores y se sumaron algunos nuevos, en la siguiente tabla se presenta a qué Línea de Generación de Conocimiento pertenecía cada uno</w:t>
      </w:r>
      <w:r w:rsidR="00A35A0F">
        <w:t>:</w:t>
      </w:r>
    </w:p>
    <w:p w:rsidR="00356E67" w:rsidRPr="00EB5CF0" w:rsidRDefault="00356E67" w:rsidP="00E16642"/>
    <w:tbl>
      <w:tblPr>
        <w:tblW w:w="0" w:type="auto"/>
        <w:jc w:val="center"/>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4253"/>
      </w:tblGrid>
      <w:tr w:rsidR="00356E67" w:rsidRPr="00874A48" w:rsidTr="00EB5CF0">
        <w:trPr>
          <w:jc w:val="center"/>
        </w:trPr>
        <w:tc>
          <w:tcPr>
            <w:tcW w:w="3396" w:type="dxa"/>
            <w:vAlign w:val="center"/>
          </w:tcPr>
          <w:p w:rsidR="00356E67" w:rsidRPr="00874A48" w:rsidRDefault="00356E67" w:rsidP="00E16642">
            <w:pPr>
              <w:jc w:val="center"/>
              <w:rPr>
                <w:b/>
                <w:bCs/>
                <w:sz w:val="20"/>
                <w:szCs w:val="20"/>
              </w:rPr>
            </w:pPr>
            <w:r w:rsidRPr="00874A48">
              <w:rPr>
                <w:b/>
                <w:bCs/>
                <w:sz w:val="20"/>
                <w:szCs w:val="20"/>
              </w:rPr>
              <w:t>Investigador (a)</w:t>
            </w:r>
          </w:p>
        </w:tc>
        <w:tc>
          <w:tcPr>
            <w:tcW w:w="4253" w:type="dxa"/>
            <w:vAlign w:val="center"/>
          </w:tcPr>
          <w:p w:rsidR="00356E67" w:rsidRPr="00874A48" w:rsidRDefault="00356E67" w:rsidP="00E16642">
            <w:pPr>
              <w:jc w:val="center"/>
              <w:rPr>
                <w:b/>
                <w:iCs/>
                <w:sz w:val="20"/>
                <w:szCs w:val="20"/>
              </w:rPr>
            </w:pPr>
            <w:r w:rsidRPr="00874A48">
              <w:rPr>
                <w:b/>
                <w:iCs/>
                <w:sz w:val="20"/>
                <w:szCs w:val="20"/>
              </w:rPr>
              <w:t xml:space="preserve">Línea de </w:t>
            </w:r>
            <w:r w:rsidR="00874A48">
              <w:rPr>
                <w:b/>
                <w:iCs/>
                <w:sz w:val="20"/>
                <w:szCs w:val="20"/>
              </w:rPr>
              <w:t>Generación de Conocimiento</w:t>
            </w:r>
          </w:p>
        </w:tc>
      </w:tr>
      <w:tr w:rsidR="00356E67" w:rsidRPr="00260E6A" w:rsidTr="00EB5CF0">
        <w:trPr>
          <w:jc w:val="center"/>
        </w:trPr>
        <w:tc>
          <w:tcPr>
            <w:tcW w:w="3396" w:type="dxa"/>
            <w:vAlign w:val="center"/>
          </w:tcPr>
          <w:p w:rsidR="00356E67" w:rsidRPr="00260E6A" w:rsidRDefault="00356E67" w:rsidP="00E16642">
            <w:pPr>
              <w:jc w:val="left"/>
              <w:rPr>
                <w:bCs/>
                <w:sz w:val="20"/>
                <w:szCs w:val="20"/>
              </w:rPr>
            </w:pPr>
            <w:r w:rsidRPr="00260E6A">
              <w:rPr>
                <w:bCs/>
                <w:sz w:val="20"/>
                <w:szCs w:val="20"/>
              </w:rPr>
              <w:t>Dr. Mario Sánchez Silva</w:t>
            </w:r>
          </w:p>
        </w:tc>
        <w:tc>
          <w:tcPr>
            <w:tcW w:w="4253" w:type="dxa"/>
            <w:vAlign w:val="center"/>
          </w:tcPr>
          <w:p w:rsidR="00356E67" w:rsidRPr="00260E6A" w:rsidRDefault="00356E67" w:rsidP="00E16642">
            <w:pPr>
              <w:jc w:val="left"/>
              <w:rPr>
                <w:iCs/>
                <w:sz w:val="20"/>
                <w:szCs w:val="20"/>
              </w:rPr>
            </w:pPr>
            <w:r w:rsidRPr="00260E6A">
              <w:rPr>
                <w:iCs/>
                <w:sz w:val="20"/>
                <w:szCs w:val="20"/>
              </w:rPr>
              <w:t>Estudios Sociales de las Ciencias</w:t>
            </w:r>
          </w:p>
        </w:tc>
      </w:tr>
      <w:tr w:rsidR="00356E67" w:rsidRPr="00260E6A" w:rsidTr="00EB5CF0">
        <w:trPr>
          <w:jc w:val="center"/>
        </w:trPr>
        <w:tc>
          <w:tcPr>
            <w:tcW w:w="3396" w:type="dxa"/>
            <w:vAlign w:val="center"/>
          </w:tcPr>
          <w:p w:rsidR="00356E67" w:rsidRPr="00260E6A" w:rsidRDefault="00356E67" w:rsidP="00E16642">
            <w:pPr>
              <w:jc w:val="left"/>
              <w:rPr>
                <w:bCs/>
                <w:sz w:val="20"/>
                <w:szCs w:val="20"/>
              </w:rPr>
            </w:pPr>
            <w:r w:rsidRPr="00260E6A">
              <w:rPr>
                <w:bCs/>
                <w:sz w:val="20"/>
                <w:szCs w:val="20"/>
              </w:rPr>
              <w:t>Dr. Onofre Rojo Asenjo</w:t>
            </w:r>
          </w:p>
        </w:tc>
        <w:tc>
          <w:tcPr>
            <w:tcW w:w="4253" w:type="dxa"/>
            <w:vAlign w:val="center"/>
          </w:tcPr>
          <w:p w:rsidR="00356E67" w:rsidRPr="00260E6A" w:rsidRDefault="00356E67" w:rsidP="00E16642">
            <w:pPr>
              <w:jc w:val="left"/>
              <w:rPr>
                <w:iCs/>
                <w:sz w:val="20"/>
                <w:szCs w:val="20"/>
              </w:rPr>
            </w:pPr>
            <w:r w:rsidRPr="00260E6A">
              <w:rPr>
                <w:iCs/>
                <w:sz w:val="20"/>
                <w:szCs w:val="20"/>
              </w:rPr>
              <w:t>Historia y filosofía de las ciencias</w:t>
            </w:r>
          </w:p>
          <w:p w:rsidR="00356E67" w:rsidRPr="00260E6A" w:rsidRDefault="00356E67" w:rsidP="00E16642">
            <w:pPr>
              <w:jc w:val="left"/>
              <w:rPr>
                <w:iCs/>
                <w:sz w:val="20"/>
                <w:szCs w:val="20"/>
              </w:rPr>
            </w:pPr>
            <w:r w:rsidRPr="00260E6A">
              <w:rPr>
                <w:iCs/>
                <w:sz w:val="20"/>
                <w:szCs w:val="20"/>
              </w:rPr>
              <w:t>Lógica y epistemología</w:t>
            </w:r>
          </w:p>
        </w:tc>
      </w:tr>
      <w:tr w:rsidR="00356E67" w:rsidRPr="00260E6A" w:rsidTr="00EB5CF0">
        <w:trPr>
          <w:jc w:val="center"/>
        </w:trPr>
        <w:tc>
          <w:tcPr>
            <w:tcW w:w="3396" w:type="dxa"/>
            <w:vAlign w:val="center"/>
          </w:tcPr>
          <w:p w:rsidR="00356E67" w:rsidRPr="00260E6A" w:rsidRDefault="00356E67" w:rsidP="00E16642">
            <w:pPr>
              <w:jc w:val="left"/>
              <w:rPr>
                <w:bCs/>
                <w:sz w:val="20"/>
                <w:szCs w:val="20"/>
                <w:lang w:val="pt-BR"/>
              </w:rPr>
            </w:pPr>
            <w:r w:rsidRPr="00260E6A">
              <w:rPr>
                <w:bCs/>
                <w:sz w:val="20"/>
                <w:szCs w:val="20"/>
                <w:lang w:val="pt-BR"/>
              </w:rPr>
              <w:t>Dr. Humberto Monteón González</w:t>
            </w:r>
            <w:r w:rsidR="00874A48">
              <w:rPr>
                <w:bCs/>
                <w:sz w:val="20"/>
                <w:szCs w:val="20"/>
                <w:lang w:val="pt-BR"/>
              </w:rPr>
              <w:t xml:space="preserve"> </w:t>
            </w:r>
          </w:p>
        </w:tc>
        <w:tc>
          <w:tcPr>
            <w:tcW w:w="4253" w:type="dxa"/>
            <w:vAlign w:val="center"/>
          </w:tcPr>
          <w:p w:rsidR="00356E67" w:rsidRPr="00260E6A" w:rsidRDefault="00356E67" w:rsidP="00E16642">
            <w:pPr>
              <w:jc w:val="left"/>
              <w:rPr>
                <w:iCs/>
                <w:sz w:val="20"/>
                <w:szCs w:val="20"/>
              </w:rPr>
            </w:pPr>
            <w:r w:rsidRPr="00260E6A">
              <w:rPr>
                <w:iCs/>
                <w:sz w:val="20"/>
                <w:szCs w:val="20"/>
              </w:rPr>
              <w:t>Historia y Filosofía</w:t>
            </w:r>
            <w:r w:rsidR="00874A48">
              <w:rPr>
                <w:iCs/>
                <w:sz w:val="20"/>
                <w:szCs w:val="20"/>
              </w:rPr>
              <w:t xml:space="preserve"> </w:t>
            </w:r>
            <w:r w:rsidRPr="00260E6A">
              <w:rPr>
                <w:iCs/>
                <w:sz w:val="20"/>
                <w:szCs w:val="20"/>
              </w:rPr>
              <w:t>de las Ciencias</w:t>
            </w:r>
          </w:p>
          <w:p w:rsidR="00356E67" w:rsidRPr="00260E6A" w:rsidRDefault="00356E67" w:rsidP="00E16642">
            <w:pPr>
              <w:jc w:val="left"/>
              <w:rPr>
                <w:iCs/>
                <w:sz w:val="20"/>
                <w:szCs w:val="20"/>
              </w:rPr>
            </w:pPr>
            <w:r w:rsidRPr="00260E6A">
              <w:rPr>
                <w:iCs/>
                <w:sz w:val="20"/>
                <w:szCs w:val="20"/>
              </w:rPr>
              <w:t>Educación Científica</w:t>
            </w:r>
          </w:p>
        </w:tc>
      </w:tr>
      <w:tr w:rsidR="00356E67" w:rsidRPr="00260E6A" w:rsidTr="00EB5CF0">
        <w:trPr>
          <w:jc w:val="center"/>
        </w:trPr>
        <w:tc>
          <w:tcPr>
            <w:tcW w:w="3396" w:type="dxa"/>
            <w:vAlign w:val="center"/>
          </w:tcPr>
          <w:p w:rsidR="00356E67" w:rsidRPr="00260E6A" w:rsidRDefault="00356E67" w:rsidP="00E16642">
            <w:pPr>
              <w:jc w:val="left"/>
              <w:rPr>
                <w:bCs/>
                <w:sz w:val="20"/>
                <w:szCs w:val="20"/>
              </w:rPr>
            </w:pPr>
            <w:r w:rsidRPr="00260E6A">
              <w:rPr>
                <w:bCs/>
                <w:sz w:val="20"/>
                <w:szCs w:val="20"/>
              </w:rPr>
              <w:t xml:space="preserve">Dr. Humberto Ponce </w:t>
            </w:r>
            <w:proofErr w:type="spellStart"/>
            <w:r w:rsidRPr="00260E6A">
              <w:rPr>
                <w:bCs/>
                <w:sz w:val="20"/>
                <w:szCs w:val="20"/>
              </w:rPr>
              <w:t>Talancón</w:t>
            </w:r>
            <w:proofErr w:type="spellEnd"/>
          </w:p>
        </w:tc>
        <w:tc>
          <w:tcPr>
            <w:tcW w:w="4253" w:type="dxa"/>
            <w:vAlign w:val="center"/>
          </w:tcPr>
          <w:p w:rsidR="00356E67" w:rsidRPr="00260E6A" w:rsidRDefault="00356E67" w:rsidP="00E16642">
            <w:pPr>
              <w:jc w:val="left"/>
              <w:rPr>
                <w:iCs/>
                <w:sz w:val="20"/>
                <w:szCs w:val="20"/>
              </w:rPr>
            </w:pPr>
            <w:r w:rsidRPr="00260E6A">
              <w:rPr>
                <w:iCs/>
                <w:sz w:val="20"/>
                <w:szCs w:val="20"/>
              </w:rPr>
              <w:t>Estudios Sociales</w:t>
            </w:r>
            <w:r w:rsidR="00874A48">
              <w:rPr>
                <w:iCs/>
                <w:sz w:val="20"/>
                <w:szCs w:val="20"/>
              </w:rPr>
              <w:t xml:space="preserve"> </w:t>
            </w:r>
            <w:r w:rsidRPr="00260E6A">
              <w:rPr>
                <w:iCs/>
                <w:sz w:val="20"/>
                <w:szCs w:val="20"/>
              </w:rPr>
              <w:t>de las Ciencias</w:t>
            </w:r>
          </w:p>
        </w:tc>
      </w:tr>
      <w:tr w:rsidR="00356E67" w:rsidRPr="00260E6A" w:rsidTr="00EB5CF0">
        <w:trPr>
          <w:jc w:val="center"/>
        </w:trPr>
        <w:tc>
          <w:tcPr>
            <w:tcW w:w="3396" w:type="dxa"/>
            <w:vAlign w:val="center"/>
          </w:tcPr>
          <w:p w:rsidR="00356E67" w:rsidRPr="00260E6A" w:rsidRDefault="00356E67" w:rsidP="00E16642">
            <w:pPr>
              <w:jc w:val="left"/>
              <w:rPr>
                <w:bCs/>
                <w:sz w:val="20"/>
                <w:szCs w:val="20"/>
                <w:lang w:val="pt-BR"/>
              </w:rPr>
            </w:pPr>
            <w:r w:rsidRPr="00260E6A">
              <w:rPr>
                <w:bCs/>
                <w:sz w:val="20"/>
                <w:szCs w:val="20"/>
                <w:lang w:val="pt-BR"/>
              </w:rPr>
              <w:lastRenderedPageBreak/>
              <w:t>Dr. Luis Mauricio Rodríguez Salazar</w:t>
            </w:r>
          </w:p>
        </w:tc>
        <w:tc>
          <w:tcPr>
            <w:tcW w:w="4253" w:type="dxa"/>
            <w:vAlign w:val="center"/>
          </w:tcPr>
          <w:p w:rsidR="00356E67" w:rsidRPr="00260E6A" w:rsidRDefault="00356E67" w:rsidP="00E16642">
            <w:pPr>
              <w:jc w:val="left"/>
              <w:rPr>
                <w:iCs/>
                <w:sz w:val="20"/>
                <w:szCs w:val="20"/>
              </w:rPr>
            </w:pPr>
            <w:r w:rsidRPr="00260E6A">
              <w:rPr>
                <w:iCs/>
                <w:sz w:val="20"/>
                <w:szCs w:val="20"/>
              </w:rPr>
              <w:t>Lógica y Epistemología</w:t>
            </w:r>
          </w:p>
          <w:p w:rsidR="00356E67" w:rsidRPr="00260E6A" w:rsidRDefault="00356E67" w:rsidP="00E16642">
            <w:pPr>
              <w:jc w:val="left"/>
              <w:rPr>
                <w:iCs/>
                <w:sz w:val="20"/>
                <w:szCs w:val="20"/>
              </w:rPr>
            </w:pPr>
            <w:r w:rsidRPr="00260E6A">
              <w:rPr>
                <w:iCs/>
                <w:sz w:val="20"/>
                <w:szCs w:val="20"/>
              </w:rPr>
              <w:t>Historia y Filosofía</w:t>
            </w:r>
            <w:r w:rsidR="00874A48">
              <w:rPr>
                <w:iCs/>
                <w:sz w:val="20"/>
                <w:szCs w:val="20"/>
              </w:rPr>
              <w:t xml:space="preserve"> </w:t>
            </w:r>
            <w:r w:rsidRPr="00260E6A">
              <w:rPr>
                <w:iCs/>
                <w:sz w:val="20"/>
                <w:szCs w:val="20"/>
              </w:rPr>
              <w:t>de las Ciencias</w:t>
            </w:r>
          </w:p>
        </w:tc>
      </w:tr>
      <w:tr w:rsidR="00356E67" w:rsidRPr="00260E6A" w:rsidTr="00EB5CF0">
        <w:trPr>
          <w:jc w:val="center"/>
        </w:trPr>
        <w:tc>
          <w:tcPr>
            <w:tcW w:w="3396" w:type="dxa"/>
            <w:vAlign w:val="center"/>
          </w:tcPr>
          <w:p w:rsidR="00356E67" w:rsidRPr="00260E6A" w:rsidRDefault="00356E67" w:rsidP="00E16642">
            <w:pPr>
              <w:jc w:val="left"/>
              <w:rPr>
                <w:bCs/>
                <w:sz w:val="20"/>
                <w:szCs w:val="20"/>
              </w:rPr>
            </w:pPr>
            <w:r w:rsidRPr="00260E6A">
              <w:rPr>
                <w:bCs/>
                <w:sz w:val="20"/>
                <w:szCs w:val="20"/>
              </w:rPr>
              <w:t>Dra. Esperanza Lozoya Meza</w:t>
            </w:r>
          </w:p>
        </w:tc>
        <w:tc>
          <w:tcPr>
            <w:tcW w:w="4253" w:type="dxa"/>
            <w:vAlign w:val="center"/>
          </w:tcPr>
          <w:p w:rsidR="00356E67" w:rsidRPr="00260E6A" w:rsidRDefault="00356E67" w:rsidP="00E16642">
            <w:pPr>
              <w:jc w:val="left"/>
              <w:rPr>
                <w:bCs/>
                <w:sz w:val="20"/>
                <w:szCs w:val="20"/>
              </w:rPr>
            </w:pPr>
            <w:r w:rsidRPr="00260E6A">
              <w:rPr>
                <w:bCs/>
                <w:sz w:val="20"/>
                <w:szCs w:val="20"/>
              </w:rPr>
              <w:t>Educación Científica</w:t>
            </w:r>
          </w:p>
        </w:tc>
      </w:tr>
      <w:tr w:rsidR="00356E67" w:rsidRPr="00260E6A" w:rsidTr="00EB5CF0">
        <w:trPr>
          <w:jc w:val="center"/>
        </w:trPr>
        <w:tc>
          <w:tcPr>
            <w:tcW w:w="3396" w:type="dxa"/>
            <w:vAlign w:val="center"/>
          </w:tcPr>
          <w:p w:rsidR="00356E67" w:rsidRPr="00260E6A" w:rsidRDefault="00356E67" w:rsidP="00E16642">
            <w:pPr>
              <w:jc w:val="left"/>
              <w:rPr>
                <w:bCs/>
                <w:sz w:val="20"/>
                <w:szCs w:val="20"/>
              </w:rPr>
            </w:pPr>
            <w:r w:rsidRPr="00260E6A">
              <w:rPr>
                <w:bCs/>
                <w:sz w:val="20"/>
                <w:szCs w:val="20"/>
              </w:rPr>
              <w:t>M. en C Carolina Manrique Nava</w:t>
            </w:r>
          </w:p>
        </w:tc>
        <w:tc>
          <w:tcPr>
            <w:tcW w:w="4253" w:type="dxa"/>
            <w:vAlign w:val="center"/>
          </w:tcPr>
          <w:p w:rsidR="00356E67" w:rsidRPr="00260E6A" w:rsidRDefault="00356E67" w:rsidP="00E16642">
            <w:pPr>
              <w:jc w:val="left"/>
              <w:rPr>
                <w:sz w:val="20"/>
                <w:szCs w:val="20"/>
              </w:rPr>
            </w:pPr>
            <w:r w:rsidRPr="00260E6A">
              <w:rPr>
                <w:sz w:val="20"/>
                <w:szCs w:val="20"/>
              </w:rPr>
              <w:t>Estudios Sociales de las Ciencias</w:t>
            </w:r>
          </w:p>
        </w:tc>
      </w:tr>
      <w:tr w:rsidR="00356E67" w:rsidRPr="00260E6A" w:rsidTr="00EB5CF0">
        <w:trPr>
          <w:jc w:val="center"/>
        </w:trPr>
        <w:tc>
          <w:tcPr>
            <w:tcW w:w="3396" w:type="dxa"/>
            <w:vAlign w:val="center"/>
          </w:tcPr>
          <w:p w:rsidR="00356E67" w:rsidRPr="00260E6A" w:rsidRDefault="00356E67" w:rsidP="00E16642">
            <w:pPr>
              <w:jc w:val="left"/>
              <w:rPr>
                <w:bCs/>
                <w:sz w:val="20"/>
                <w:szCs w:val="20"/>
              </w:rPr>
            </w:pPr>
            <w:r w:rsidRPr="00260E6A">
              <w:rPr>
                <w:bCs/>
                <w:sz w:val="20"/>
                <w:szCs w:val="20"/>
              </w:rPr>
              <w:t>M. en C. Aída Castañeda Rodríguez Cabo</w:t>
            </w:r>
          </w:p>
        </w:tc>
        <w:tc>
          <w:tcPr>
            <w:tcW w:w="4253" w:type="dxa"/>
            <w:vAlign w:val="center"/>
          </w:tcPr>
          <w:p w:rsidR="00356E67" w:rsidRPr="00260E6A" w:rsidRDefault="00356E67" w:rsidP="00E16642">
            <w:pPr>
              <w:jc w:val="left"/>
              <w:rPr>
                <w:sz w:val="20"/>
                <w:szCs w:val="20"/>
              </w:rPr>
            </w:pPr>
            <w:r w:rsidRPr="00260E6A">
              <w:rPr>
                <w:sz w:val="20"/>
                <w:szCs w:val="20"/>
              </w:rPr>
              <w:t>Estudios Sociales</w:t>
            </w:r>
            <w:r w:rsidR="00874A48">
              <w:rPr>
                <w:sz w:val="20"/>
                <w:szCs w:val="20"/>
              </w:rPr>
              <w:t xml:space="preserve"> </w:t>
            </w:r>
            <w:r w:rsidRPr="00260E6A">
              <w:rPr>
                <w:sz w:val="20"/>
                <w:szCs w:val="20"/>
              </w:rPr>
              <w:t>de las Ciencias</w:t>
            </w:r>
          </w:p>
          <w:p w:rsidR="00356E67" w:rsidRPr="00260E6A" w:rsidRDefault="00356E67" w:rsidP="00E16642">
            <w:pPr>
              <w:jc w:val="left"/>
              <w:rPr>
                <w:sz w:val="20"/>
                <w:szCs w:val="20"/>
              </w:rPr>
            </w:pPr>
            <w:r w:rsidRPr="00260E6A">
              <w:rPr>
                <w:sz w:val="20"/>
                <w:szCs w:val="20"/>
              </w:rPr>
              <w:t>Educación Científica</w:t>
            </w:r>
          </w:p>
        </w:tc>
      </w:tr>
      <w:tr w:rsidR="00356E67" w:rsidRPr="00260E6A" w:rsidTr="00EB5CF0">
        <w:trPr>
          <w:jc w:val="center"/>
        </w:trPr>
        <w:tc>
          <w:tcPr>
            <w:tcW w:w="3396" w:type="dxa"/>
            <w:vAlign w:val="center"/>
          </w:tcPr>
          <w:p w:rsidR="00356E67" w:rsidRPr="00260E6A" w:rsidRDefault="00356E67" w:rsidP="00E16642">
            <w:pPr>
              <w:jc w:val="left"/>
              <w:rPr>
                <w:bCs/>
                <w:sz w:val="20"/>
                <w:szCs w:val="20"/>
              </w:rPr>
            </w:pPr>
            <w:r w:rsidRPr="00260E6A">
              <w:rPr>
                <w:bCs/>
                <w:sz w:val="20"/>
                <w:szCs w:val="20"/>
              </w:rPr>
              <w:t>M. en C. Silverio Gerardo Armijo Mena</w:t>
            </w:r>
          </w:p>
        </w:tc>
        <w:tc>
          <w:tcPr>
            <w:tcW w:w="4253" w:type="dxa"/>
            <w:vAlign w:val="center"/>
          </w:tcPr>
          <w:p w:rsidR="00356E67" w:rsidRPr="00260E6A" w:rsidRDefault="00356E67" w:rsidP="00E16642">
            <w:pPr>
              <w:jc w:val="left"/>
              <w:rPr>
                <w:iCs/>
                <w:sz w:val="20"/>
                <w:szCs w:val="20"/>
              </w:rPr>
            </w:pPr>
            <w:r w:rsidRPr="00260E6A">
              <w:rPr>
                <w:iCs/>
                <w:sz w:val="20"/>
                <w:szCs w:val="20"/>
              </w:rPr>
              <w:t>Educación Científica</w:t>
            </w:r>
          </w:p>
          <w:p w:rsidR="00356E67" w:rsidRPr="00260E6A" w:rsidRDefault="00356E67" w:rsidP="00E16642">
            <w:pPr>
              <w:jc w:val="left"/>
              <w:rPr>
                <w:iCs/>
                <w:sz w:val="20"/>
                <w:szCs w:val="20"/>
              </w:rPr>
            </w:pPr>
            <w:r w:rsidRPr="00260E6A">
              <w:rPr>
                <w:iCs/>
                <w:sz w:val="20"/>
                <w:szCs w:val="20"/>
              </w:rPr>
              <w:t>Lógica y Epistemología</w:t>
            </w:r>
          </w:p>
        </w:tc>
      </w:tr>
      <w:tr w:rsidR="00356E67" w:rsidRPr="00260E6A" w:rsidTr="00EB5CF0">
        <w:trPr>
          <w:jc w:val="center"/>
        </w:trPr>
        <w:tc>
          <w:tcPr>
            <w:tcW w:w="3396" w:type="dxa"/>
            <w:vAlign w:val="center"/>
          </w:tcPr>
          <w:p w:rsidR="00356E67" w:rsidRPr="00260E6A" w:rsidRDefault="00874A48" w:rsidP="00E16642">
            <w:pPr>
              <w:jc w:val="left"/>
              <w:rPr>
                <w:bCs/>
                <w:sz w:val="20"/>
                <w:szCs w:val="20"/>
              </w:rPr>
            </w:pPr>
            <w:r>
              <w:rPr>
                <w:bCs/>
                <w:sz w:val="20"/>
                <w:szCs w:val="20"/>
              </w:rPr>
              <w:t xml:space="preserve">M en C. Gabriela María Luisa </w:t>
            </w:r>
            <w:r w:rsidR="00356E67" w:rsidRPr="00260E6A">
              <w:rPr>
                <w:bCs/>
                <w:sz w:val="20"/>
                <w:szCs w:val="20"/>
              </w:rPr>
              <w:t xml:space="preserve">Riquelme </w:t>
            </w:r>
            <w:proofErr w:type="spellStart"/>
            <w:r w:rsidR="00356E67" w:rsidRPr="00260E6A">
              <w:rPr>
                <w:bCs/>
                <w:sz w:val="20"/>
                <w:szCs w:val="20"/>
              </w:rPr>
              <w:t>Alcantar</w:t>
            </w:r>
            <w:proofErr w:type="spellEnd"/>
            <w:r w:rsidR="00356E67" w:rsidRPr="00260E6A">
              <w:rPr>
                <w:bCs/>
                <w:sz w:val="20"/>
                <w:szCs w:val="20"/>
              </w:rPr>
              <w:t xml:space="preserve"> </w:t>
            </w:r>
          </w:p>
        </w:tc>
        <w:tc>
          <w:tcPr>
            <w:tcW w:w="4253" w:type="dxa"/>
            <w:vAlign w:val="center"/>
          </w:tcPr>
          <w:p w:rsidR="00356E67" w:rsidRPr="00260E6A" w:rsidRDefault="00356E67" w:rsidP="00E16642">
            <w:pPr>
              <w:jc w:val="left"/>
              <w:rPr>
                <w:iCs/>
                <w:sz w:val="20"/>
                <w:szCs w:val="20"/>
              </w:rPr>
            </w:pPr>
            <w:r w:rsidRPr="00260E6A">
              <w:rPr>
                <w:iCs/>
                <w:sz w:val="20"/>
                <w:szCs w:val="20"/>
              </w:rPr>
              <w:t>Estudios Sociales</w:t>
            </w:r>
            <w:r w:rsidR="00874A48">
              <w:rPr>
                <w:iCs/>
                <w:sz w:val="20"/>
                <w:szCs w:val="20"/>
              </w:rPr>
              <w:t xml:space="preserve"> </w:t>
            </w:r>
            <w:r w:rsidRPr="00260E6A">
              <w:rPr>
                <w:iCs/>
                <w:sz w:val="20"/>
                <w:szCs w:val="20"/>
              </w:rPr>
              <w:t>de las Ciencias</w:t>
            </w:r>
          </w:p>
          <w:p w:rsidR="00356E67" w:rsidRPr="00260E6A" w:rsidRDefault="00356E67" w:rsidP="00E16642">
            <w:pPr>
              <w:jc w:val="left"/>
              <w:rPr>
                <w:iCs/>
                <w:sz w:val="20"/>
                <w:szCs w:val="20"/>
              </w:rPr>
            </w:pPr>
            <w:r w:rsidRPr="00260E6A">
              <w:rPr>
                <w:iCs/>
                <w:sz w:val="20"/>
                <w:szCs w:val="20"/>
              </w:rPr>
              <w:t>Educación Científica</w:t>
            </w:r>
          </w:p>
        </w:tc>
      </w:tr>
    </w:tbl>
    <w:p w:rsidR="00356E67" w:rsidRPr="00874A48" w:rsidRDefault="00356E67" w:rsidP="00E16642">
      <w:pPr>
        <w:rPr>
          <w:sz w:val="20"/>
          <w:szCs w:val="20"/>
        </w:rPr>
      </w:pPr>
      <w:r w:rsidRPr="00874A48">
        <w:rPr>
          <w:sz w:val="20"/>
          <w:szCs w:val="20"/>
        </w:rPr>
        <w:t xml:space="preserve">Fuente </w:t>
      </w:r>
      <w:sdt>
        <w:sdtPr>
          <w:rPr>
            <w:sz w:val="20"/>
            <w:szCs w:val="20"/>
          </w:rPr>
          <w:id w:val="3196084"/>
          <w:citation/>
        </w:sdtPr>
        <w:sdtEndPr/>
        <w:sdtContent>
          <w:r w:rsidR="0072146B" w:rsidRPr="00874A48">
            <w:rPr>
              <w:sz w:val="20"/>
              <w:szCs w:val="20"/>
            </w:rPr>
            <w:fldChar w:fldCharType="begin"/>
          </w:r>
          <w:r w:rsidRPr="00874A48">
            <w:rPr>
              <w:sz w:val="20"/>
              <w:szCs w:val="20"/>
            </w:rPr>
            <w:instrText xml:space="preserve"> CITATION CIE092 \l 2058  </w:instrText>
          </w:r>
          <w:r w:rsidR="0072146B" w:rsidRPr="00874A48">
            <w:rPr>
              <w:sz w:val="20"/>
              <w:szCs w:val="20"/>
            </w:rPr>
            <w:fldChar w:fldCharType="separate"/>
          </w:r>
          <w:r w:rsidRPr="00874A48">
            <w:rPr>
              <w:noProof/>
              <w:sz w:val="20"/>
              <w:szCs w:val="20"/>
            </w:rPr>
            <w:t>(H. Colegio de Profesores del CIECAS, 2009)</w:t>
          </w:r>
          <w:r w:rsidR="0072146B" w:rsidRPr="00874A48">
            <w:rPr>
              <w:sz w:val="20"/>
              <w:szCs w:val="20"/>
            </w:rPr>
            <w:fldChar w:fldCharType="end"/>
          </w:r>
        </w:sdtContent>
      </w:sdt>
    </w:p>
    <w:p w:rsidR="00356E67" w:rsidRPr="00EB5CF0" w:rsidRDefault="00356E67" w:rsidP="00E16642"/>
    <w:p w:rsidR="00356E67" w:rsidRPr="00EB5CF0" w:rsidRDefault="00356E67" w:rsidP="00E16642">
      <w:r w:rsidRPr="00EB5CF0">
        <w:t>En el 2010 los profesores que se habían planeado para participaban eran Onofre Rojo Asenjo, Carolina Manrique Nava, Humberto Monteón González, Humberto Monteón González y Luis Mauricio Rodríguez Salazar</w:t>
      </w:r>
      <w:sdt>
        <w:sdtPr>
          <w:id w:val="4283515"/>
          <w:citation/>
        </w:sdtPr>
        <w:sdtEndPr/>
        <w:sdtContent>
          <w:r w:rsidR="0072146B" w:rsidRPr="00EB5CF0">
            <w:fldChar w:fldCharType="begin"/>
          </w:r>
          <w:r w:rsidRPr="00EB5CF0">
            <w:instrText xml:space="preserve"> CITATION HCo10 \l 2058 </w:instrText>
          </w:r>
          <w:r w:rsidR="0072146B" w:rsidRPr="00EB5CF0">
            <w:fldChar w:fldCharType="separate"/>
          </w:r>
          <w:r w:rsidRPr="00EB5CF0">
            <w:rPr>
              <w:noProof/>
            </w:rPr>
            <w:t xml:space="preserve"> (H. Colegio de Profesores CIECAS, 2010)</w:t>
          </w:r>
          <w:r w:rsidR="0072146B" w:rsidRPr="00EB5CF0">
            <w:fldChar w:fldCharType="end"/>
          </w:r>
        </w:sdtContent>
      </w:sdt>
      <w:r w:rsidRPr="00EB5CF0">
        <w:t>. Sin embargo se cerró la MCMC.</w:t>
      </w:r>
    </w:p>
    <w:p w:rsidR="00356E67" w:rsidRPr="00EB5CF0" w:rsidRDefault="00356E67" w:rsidP="00E16642"/>
    <w:p w:rsidR="00356E67" w:rsidRPr="00EB5CF0" w:rsidRDefault="00356E67" w:rsidP="00E16642"/>
    <w:p w:rsidR="00356E67" w:rsidRPr="003E1A0D" w:rsidRDefault="00436C36" w:rsidP="003E1A0D">
      <w:pPr>
        <w:pStyle w:val="Ttulo2"/>
      </w:pPr>
      <w:bookmarkStart w:id="19" w:name="_Toc308691484"/>
      <w:r w:rsidRPr="003E1A0D">
        <w:t>La MCMC perspectiva</w:t>
      </w:r>
      <w:bookmarkEnd w:id="19"/>
      <w:r w:rsidRPr="003E1A0D">
        <w:t xml:space="preserve">  </w:t>
      </w:r>
    </w:p>
    <w:p w:rsidR="00356E67" w:rsidRPr="00EB5CF0" w:rsidRDefault="00356E67" w:rsidP="00E16642"/>
    <w:p w:rsidR="00356E67" w:rsidRPr="00EB5CF0" w:rsidRDefault="00356E67" w:rsidP="00E16642">
      <w:r w:rsidRPr="00EB5CF0">
        <w:t>En la Sesión Ordinaria del 15 de abril de 2011 el Pleno se da por enterado de la re</w:t>
      </w:r>
      <w:r w:rsidR="00A35A0F">
        <w:t>apertura de la MCMC</w:t>
      </w:r>
      <w:r w:rsidRPr="00EB5CF0">
        <w:t xml:space="preserve"> </w:t>
      </w:r>
      <w:sdt>
        <w:sdtPr>
          <w:id w:val="3196081"/>
          <w:citation/>
        </w:sdtPr>
        <w:sdtEndPr/>
        <w:sdtContent>
          <w:r w:rsidR="0072146B" w:rsidRPr="00EB5CF0">
            <w:fldChar w:fldCharType="begin"/>
          </w:r>
          <w:r w:rsidRPr="00EB5CF0">
            <w:instrText xml:space="preserve"> CITATION CIE11 \l 2058 </w:instrText>
          </w:r>
          <w:r w:rsidR="0072146B" w:rsidRPr="00EB5CF0">
            <w:fldChar w:fldCharType="separate"/>
          </w:r>
          <w:r w:rsidRPr="00EB5CF0">
            <w:rPr>
              <w:noProof/>
            </w:rPr>
            <w:t>(CIECAS, 2011)</w:t>
          </w:r>
          <w:r w:rsidR="0072146B" w:rsidRPr="00EB5CF0">
            <w:fldChar w:fldCharType="end"/>
          </w:r>
        </w:sdtContent>
      </w:sdt>
      <w:r w:rsidR="00A35A0F">
        <w:t xml:space="preserve"> y se establece una nueva perspecti</w:t>
      </w:r>
      <w:r w:rsidR="00962DE4">
        <w:t>va para la Maestría.</w:t>
      </w:r>
    </w:p>
    <w:p w:rsidR="00356E67" w:rsidRPr="00EB5CF0" w:rsidRDefault="00356E67" w:rsidP="00E16642"/>
    <w:p w:rsidR="00356E67" w:rsidRPr="009D5466" w:rsidRDefault="00356E67" w:rsidP="00E16642">
      <w:r w:rsidRPr="009D5466">
        <w:t xml:space="preserve">En el </w:t>
      </w:r>
      <w:proofErr w:type="spellStart"/>
      <w:r w:rsidRPr="009D5466">
        <w:t>cuadríptico</w:t>
      </w:r>
      <w:proofErr w:type="spellEnd"/>
      <w:r w:rsidRPr="009D5466">
        <w:t xml:space="preserve"> y en la convocatoria 2011-2013 de la maestría </w:t>
      </w:r>
      <w:sdt>
        <w:sdtPr>
          <w:id w:val="3196065"/>
          <w:citation/>
        </w:sdtPr>
        <w:sdtEndPr/>
        <w:sdtContent>
          <w:r w:rsidR="00B20C48">
            <w:fldChar w:fldCharType="begin"/>
          </w:r>
          <w:r w:rsidR="00B20C48">
            <w:instrText xml:space="preserve"> CITATION CIE101 \t  \m CIE10 \t  \l 2058  </w:instrText>
          </w:r>
          <w:r w:rsidR="00B20C48">
            <w:fldChar w:fldCharType="separate"/>
          </w:r>
          <w:r w:rsidR="00A35A0F" w:rsidRPr="009D5466">
            <w:rPr>
              <w:noProof/>
            </w:rPr>
            <w:t>(CIECAS, 2010a; CIECAS, 2010b)</w:t>
          </w:r>
          <w:r w:rsidR="00B20C48">
            <w:rPr>
              <w:noProof/>
            </w:rPr>
            <w:fldChar w:fldCharType="end"/>
          </w:r>
        </w:sdtContent>
      </w:sdt>
      <w:r w:rsidRPr="009D5466">
        <w:t xml:space="preserve"> se indica que el objetivo es “Conducir al alumno a la reflexión crítica sobre el dominio conceptual y material de las ciencias desde la perspectiva histórica, filosófica, epistemológica y social con el propósito de formarlo como científico de la metodología en el campo de su disciplina de origen”. En este año es cuando ya hay un cambio notable en la orientación de la maestría, ya no está dirigida a revisar el trabajo de los investigadores sino a reflexionar sobre el avance científico en su propia disciplina</w:t>
      </w:r>
      <w:r w:rsidR="00A35A0F" w:rsidRPr="009D5466">
        <w:t xml:space="preserve">, es decir, hay un cambio radical dejando detrás los estudios sobre métodos de investigación y se dirige la formación a la </w:t>
      </w:r>
      <w:r w:rsidR="00A35A0F" w:rsidRPr="009D5466">
        <w:lastRenderedPageBreak/>
        <w:t>metodología de la ciencia</w:t>
      </w:r>
      <w:r w:rsidRPr="009D5466">
        <w:t xml:space="preserve">. Las Líneas de Acción y Aplicación del Conocimiento que se propusieron fueron tres: Bases Epistemológicas de la Metodología, La Metodología en los Estudios Sociales y Filosofía e Historia de las Ciencias. </w:t>
      </w:r>
      <w:r w:rsidR="00A35A0F" w:rsidRPr="009D5466">
        <w:t>En cuanto al cuerpo académico, ahora se establece incluso su pertenencia al Sistema Nacional de Investigadores o su reconocimiento como investigador del IPN, el campo de especialidad y la universidad en donde se cursó el último grado de estudios; así como la Línea de Generación de Conocimiento a la que pertenece:</w:t>
      </w:r>
    </w:p>
    <w:p w:rsidR="00A35A0F" w:rsidRPr="009D5466" w:rsidRDefault="00A35A0F" w:rsidP="00E16642">
      <w:pPr>
        <w:jc w:val="left"/>
      </w:pPr>
    </w:p>
    <w:tbl>
      <w:tblPr>
        <w:tblStyle w:val="Tablaconcuadrcula"/>
        <w:tblW w:w="0" w:type="auto"/>
        <w:tblInd w:w="392" w:type="dxa"/>
        <w:tblLook w:val="04A0" w:firstRow="1" w:lastRow="0" w:firstColumn="1" w:lastColumn="0" w:noHBand="0" w:noVBand="1"/>
      </w:tblPr>
      <w:tblGrid>
        <w:gridCol w:w="1428"/>
        <w:gridCol w:w="2366"/>
        <w:gridCol w:w="2410"/>
        <w:gridCol w:w="2159"/>
      </w:tblGrid>
      <w:tr w:rsidR="00356E67" w:rsidRPr="009D5466" w:rsidTr="00C05449">
        <w:tc>
          <w:tcPr>
            <w:tcW w:w="1428" w:type="dxa"/>
            <w:vAlign w:val="center"/>
          </w:tcPr>
          <w:p w:rsidR="00356E67" w:rsidRPr="009D5466" w:rsidRDefault="00356E67" w:rsidP="00E16642">
            <w:pPr>
              <w:jc w:val="center"/>
              <w:rPr>
                <w:b/>
                <w:sz w:val="20"/>
                <w:szCs w:val="20"/>
              </w:rPr>
            </w:pPr>
            <w:r w:rsidRPr="009D5466">
              <w:rPr>
                <w:b/>
                <w:sz w:val="20"/>
                <w:szCs w:val="20"/>
              </w:rPr>
              <w:t>Puesto</w:t>
            </w:r>
          </w:p>
        </w:tc>
        <w:tc>
          <w:tcPr>
            <w:tcW w:w="2366" w:type="dxa"/>
            <w:vAlign w:val="center"/>
          </w:tcPr>
          <w:p w:rsidR="00356E67" w:rsidRPr="009D5466" w:rsidRDefault="00356E67" w:rsidP="00E16642">
            <w:pPr>
              <w:jc w:val="center"/>
              <w:rPr>
                <w:b/>
                <w:sz w:val="20"/>
                <w:szCs w:val="20"/>
              </w:rPr>
            </w:pPr>
            <w:r w:rsidRPr="009D5466">
              <w:rPr>
                <w:b/>
                <w:sz w:val="20"/>
                <w:szCs w:val="20"/>
              </w:rPr>
              <w:t>Investigador del SNI</w:t>
            </w:r>
          </w:p>
        </w:tc>
        <w:tc>
          <w:tcPr>
            <w:tcW w:w="2410" w:type="dxa"/>
            <w:vAlign w:val="center"/>
          </w:tcPr>
          <w:p w:rsidR="00356E67" w:rsidRPr="009D5466" w:rsidRDefault="00356E67" w:rsidP="00E16642">
            <w:pPr>
              <w:jc w:val="center"/>
              <w:rPr>
                <w:b/>
                <w:sz w:val="20"/>
                <w:szCs w:val="20"/>
              </w:rPr>
            </w:pPr>
            <w:r w:rsidRPr="009D5466">
              <w:rPr>
                <w:b/>
                <w:sz w:val="20"/>
                <w:szCs w:val="20"/>
              </w:rPr>
              <w:t>Investigador del IPN</w:t>
            </w:r>
          </w:p>
        </w:tc>
        <w:tc>
          <w:tcPr>
            <w:tcW w:w="2159" w:type="dxa"/>
            <w:vAlign w:val="center"/>
          </w:tcPr>
          <w:p w:rsidR="00356E67" w:rsidRPr="009D5466" w:rsidRDefault="00356E67" w:rsidP="00E16642">
            <w:pPr>
              <w:jc w:val="center"/>
              <w:rPr>
                <w:b/>
                <w:sz w:val="20"/>
                <w:szCs w:val="20"/>
              </w:rPr>
            </w:pPr>
            <w:r w:rsidRPr="009D5466">
              <w:rPr>
                <w:b/>
                <w:sz w:val="20"/>
                <w:szCs w:val="20"/>
              </w:rPr>
              <w:t xml:space="preserve">Línea de </w:t>
            </w:r>
            <w:r w:rsidR="00A35A0F" w:rsidRPr="009D5466">
              <w:rPr>
                <w:b/>
                <w:sz w:val="20"/>
                <w:szCs w:val="20"/>
              </w:rPr>
              <w:t xml:space="preserve">Generación de </w:t>
            </w:r>
            <w:r w:rsidRPr="009D5466">
              <w:rPr>
                <w:b/>
                <w:sz w:val="20"/>
                <w:szCs w:val="20"/>
              </w:rPr>
              <w:t>Conocimiento</w:t>
            </w:r>
          </w:p>
        </w:tc>
      </w:tr>
      <w:tr w:rsidR="00A35A0F" w:rsidRPr="009D5466" w:rsidTr="00C05449">
        <w:tc>
          <w:tcPr>
            <w:tcW w:w="1428" w:type="dxa"/>
            <w:vAlign w:val="center"/>
          </w:tcPr>
          <w:p w:rsidR="00A35A0F" w:rsidRPr="009D5466" w:rsidRDefault="00A35A0F" w:rsidP="00C05449">
            <w:pPr>
              <w:ind w:left="142"/>
              <w:jc w:val="left"/>
              <w:rPr>
                <w:b/>
                <w:sz w:val="20"/>
                <w:szCs w:val="20"/>
              </w:rPr>
            </w:pPr>
          </w:p>
        </w:tc>
        <w:tc>
          <w:tcPr>
            <w:tcW w:w="2366" w:type="dxa"/>
            <w:vAlign w:val="center"/>
          </w:tcPr>
          <w:p w:rsidR="00A35A0F" w:rsidRPr="009D5466" w:rsidRDefault="00A35A0F" w:rsidP="00E16642">
            <w:pPr>
              <w:jc w:val="left"/>
              <w:rPr>
                <w:sz w:val="16"/>
                <w:szCs w:val="16"/>
              </w:rPr>
            </w:pPr>
            <w:r w:rsidRPr="009D5466">
              <w:rPr>
                <w:sz w:val="16"/>
                <w:szCs w:val="16"/>
              </w:rPr>
              <w:t xml:space="preserve">Nombre </w:t>
            </w:r>
          </w:p>
          <w:p w:rsidR="00A35A0F" w:rsidRPr="009D5466" w:rsidRDefault="00A35A0F" w:rsidP="00E16642">
            <w:pPr>
              <w:jc w:val="left"/>
              <w:rPr>
                <w:i/>
                <w:sz w:val="16"/>
                <w:szCs w:val="16"/>
              </w:rPr>
            </w:pPr>
            <w:r w:rsidRPr="009D5466">
              <w:rPr>
                <w:i/>
                <w:sz w:val="16"/>
                <w:szCs w:val="16"/>
              </w:rPr>
              <w:t xml:space="preserve">Especialidad Universidad </w:t>
            </w:r>
          </w:p>
          <w:p w:rsidR="00A35A0F" w:rsidRPr="009D5466" w:rsidRDefault="00A35A0F" w:rsidP="00E16642">
            <w:pPr>
              <w:jc w:val="left"/>
              <w:rPr>
                <w:b/>
                <w:sz w:val="20"/>
                <w:szCs w:val="20"/>
              </w:rPr>
            </w:pPr>
            <w:r w:rsidRPr="009D5466">
              <w:rPr>
                <w:sz w:val="16"/>
                <w:szCs w:val="16"/>
              </w:rPr>
              <w:t>Nivel del SIN</w:t>
            </w:r>
          </w:p>
        </w:tc>
        <w:tc>
          <w:tcPr>
            <w:tcW w:w="2410" w:type="dxa"/>
            <w:vAlign w:val="center"/>
          </w:tcPr>
          <w:p w:rsidR="00A35A0F" w:rsidRPr="009D5466" w:rsidRDefault="00A35A0F" w:rsidP="00E16642">
            <w:pPr>
              <w:jc w:val="left"/>
              <w:rPr>
                <w:sz w:val="16"/>
                <w:szCs w:val="16"/>
              </w:rPr>
            </w:pPr>
            <w:r w:rsidRPr="009D5466">
              <w:rPr>
                <w:sz w:val="16"/>
                <w:szCs w:val="16"/>
              </w:rPr>
              <w:t>Nombre</w:t>
            </w:r>
          </w:p>
          <w:p w:rsidR="00A35A0F" w:rsidRPr="009D5466" w:rsidRDefault="00A35A0F" w:rsidP="00E16642">
            <w:pPr>
              <w:jc w:val="left"/>
              <w:rPr>
                <w:b/>
                <w:i/>
                <w:sz w:val="20"/>
                <w:szCs w:val="20"/>
              </w:rPr>
            </w:pPr>
            <w:r w:rsidRPr="009D5466">
              <w:rPr>
                <w:i/>
                <w:sz w:val="16"/>
                <w:szCs w:val="16"/>
              </w:rPr>
              <w:t>Especialidad Universidad</w:t>
            </w:r>
          </w:p>
        </w:tc>
        <w:tc>
          <w:tcPr>
            <w:tcW w:w="2159" w:type="dxa"/>
            <w:vAlign w:val="center"/>
          </w:tcPr>
          <w:p w:rsidR="00A35A0F" w:rsidRPr="009D5466" w:rsidRDefault="00A35A0F" w:rsidP="00E16642">
            <w:pPr>
              <w:jc w:val="left"/>
              <w:rPr>
                <w:b/>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r w:rsidRPr="009D5466">
              <w:rPr>
                <w:sz w:val="20"/>
                <w:szCs w:val="20"/>
              </w:rPr>
              <w:t>Coordinadora de la MCMC</w:t>
            </w: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Gabriela María Luisa Riquelme </w:t>
            </w:r>
            <w:proofErr w:type="spellStart"/>
            <w:r w:rsidRPr="009D5466">
              <w:rPr>
                <w:sz w:val="20"/>
                <w:szCs w:val="20"/>
              </w:rPr>
              <w:t>Alcantar</w:t>
            </w:r>
            <w:proofErr w:type="spellEnd"/>
          </w:p>
          <w:p w:rsidR="00356E67" w:rsidRPr="009D5466" w:rsidRDefault="00356E67" w:rsidP="00E16642">
            <w:pPr>
              <w:jc w:val="left"/>
              <w:rPr>
                <w:i/>
                <w:sz w:val="16"/>
                <w:szCs w:val="16"/>
              </w:rPr>
            </w:pPr>
            <w:r w:rsidRPr="009D5466">
              <w:rPr>
                <w:i/>
                <w:sz w:val="16"/>
                <w:szCs w:val="16"/>
              </w:rPr>
              <w:t xml:space="preserve">Doctora en Ciencias en la especialidad de Investigaciones Educativas </w:t>
            </w:r>
          </w:p>
          <w:p w:rsidR="00356E67" w:rsidRPr="009D5466" w:rsidRDefault="00356E67" w:rsidP="00E16642">
            <w:pPr>
              <w:jc w:val="left"/>
              <w:rPr>
                <w:sz w:val="20"/>
                <w:szCs w:val="20"/>
              </w:rPr>
            </w:pPr>
            <w:r w:rsidRPr="009D5466">
              <w:rPr>
                <w:i/>
                <w:sz w:val="16"/>
                <w:szCs w:val="16"/>
              </w:rPr>
              <w:t>CINVESTAV-IPN</w:t>
            </w:r>
          </w:p>
        </w:tc>
        <w:tc>
          <w:tcPr>
            <w:tcW w:w="2159" w:type="dxa"/>
            <w:vAlign w:val="center"/>
          </w:tcPr>
          <w:p w:rsidR="00356E67" w:rsidRPr="009D5466" w:rsidRDefault="00356E67" w:rsidP="00E16642">
            <w:pPr>
              <w:jc w:val="left"/>
              <w:rPr>
                <w:sz w:val="20"/>
                <w:szCs w:val="20"/>
              </w:rPr>
            </w:pPr>
            <w:r w:rsidRPr="009D5466">
              <w:rPr>
                <w:iCs/>
                <w:sz w:val="20"/>
                <w:szCs w:val="20"/>
              </w:rPr>
              <w:t xml:space="preserve">Filosofía e Historia de la Ciencia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r w:rsidRPr="009D5466">
              <w:rPr>
                <w:sz w:val="20"/>
                <w:szCs w:val="20"/>
              </w:rPr>
              <w:t>Decano del CIECAS-IPN</w:t>
            </w: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Humberto Monteón González</w:t>
            </w:r>
          </w:p>
          <w:p w:rsidR="00356E67" w:rsidRPr="009D5466" w:rsidRDefault="00356E67" w:rsidP="00E16642">
            <w:pPr>
              <w:jc w:val="left"/>
              <w:rPr>
                <w:i/>
                <w:sz w:val="16"/>
                <w:szCs w:val="20"/>
              </w:rPr>
            </w:pPr>
            <w:r w:rsidRPr="009D5466">
              <w:rPr>
                <w:i/>
                <w:sz w:val="16"/>
                <w:szCs w:val="20"/>
              </w:rPr>
              <w:t xml:space="preserve">Doctor en Historia </w:t>
            </w:r>
          </w:p>
          <w:p w:rsidR="00356E67" w:rsidRPr="009D5466" w:rsidRDefault="00356E67" w:rsidP="00E16642">
            <w:pPr>
              <w:jc w:val="left"/>
              <w:rPr>
                <w:sz w:val="20"/>
                <w:szCs w:val="20"/>
              </w:rPr>
            </w:pPr>
            <w:r w:rsidRPr="009D5466">
              <w:rPr>
                <w:i/>
                <w:sz w:val="16"/>
                <w:szCs w:val="20"/>
              </w:rPr>
              <w:t xml:space="preserve">Universidad de la Amistad de los Pueblos Patricio </w:t>
            </w:r>
            <w:proofErr w:type="spellStart"/>
            <w:r w:rsidRPr="009D5466">
              <w:rPr>
                <w:i/>
                <w:sz w:val="16"/>
                <w:szCs w:val="20"/>
              </w:rPr>
              <w:t>Lumumba</w:t>
            </w:r>
            <w:proofErr w:type="spellEnd"/>
            <w:r w:rsidRPr="009D5466">
              <w:rPr>
                <w:i/>
                <w:sz w:val="16"/>
                <w:szCs w:val="20"/>
              </w:rPr>
              <w:t>, URSS</w:t>
            </w:r>
          </w:p>
        </w:tc>
        <w:tc>
          <w:tcPr>
            <w:tcW w:w="2159" w:type="dxa"/>
            <w:vAlign w:val="center"/>
          </w:tcPr>
          <w:p w:rsidR="00356E67" w:rsidRPr="009D5466" w:rsidRDefault="00356E67" w:rsidP="00E16642">
            <w:pPr>
              <w:jc w:val="left"/>
              <w:rPr>
                <w:sz w:val="20"/>
                <w:szCs w:val="20"/>
              </w:rPr>
            </w:pPr>
            <w:r w:rsidRPr="009D5466">
              <w:rPr>
                <w:iCs/>
                <w:sz w:val="20"/>
                <w:szCs w:val="20"/>
              </w:rPr>
              <w:t xml:space="preserve">Filosofía e Historia de la Ciencia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r w:rsidRPr="009D5466">
              <w:rPr>
                <w:sz w:val="20"/>
                <w:szCs w:val="20"/>
              </w:rPr>
              <w:t xml:space="preserve">Onofre Rojo Asenjo </w:t>
            </w:r>
          </w:p>
          <w:p w:rsidR="00356E67" w:rsidRPr="009D5466" w:rsidRDefault="00356E67" w:rsidP="00E16642">
            <w:pPr>
              <w:jc w:val="left"/>
              <w:rPr>
                <w:sz w:val="16"/>
                <w:szCs w:val="20"/>
              </w:rPr>
            </w:pPr>
            <w:r w:rsidRPr="009D5466">
              <w:rPr>
                <w:sz w:val="16"/>
                <w:szCs w:val="20"/>
              </w:rPr>
              <w:t>Doctor en Física</w:t>
            </w:r>
          </w:p>
          <w:p w:rsidR="00356E67" w:rsidRPr="009D5466" w:rsidRDefault="00356E67" w:rsidP="00E16642">
            <w:pPr>
              <w:jc w:val="left"/>
              <w:rPr>
                <w:sz w:val="20"/>
                <w:szCs w:val="20"/>
              </w:rPr>
            </w:pPr>
            <w:proofErr w:type="spellStart"/>
            <w:r w:rsidRPr="009D5466">
              <w:rPr>
                <w:sz w:val="16"/>
                <w:szCs w:val="20"/>
              </w:rPr>
              <w:t>Lousiana</w:t>
            </w:r>
            <w:proofErr w:type="spellEnd"/>
            <w:r w:rsidRPr="009D5466">
              <w:rPr>
                <w:sz w:val="16"/>
                <w:szCs w:val="20"/>
              </w:rPr>
              <w:t xml:space="preserve"> </w:t>
            </w:r>
            <w:proofErr w:type="spellStart"/>
            <w:r w:rsidRPr="009D5466">
              <w:rPr>
                <w:sz w:val="16"/>
                <w:szCs w:val="20"/>
              </w:rPr>
              <w:t>State</w:t>
            </w:r>
            <w:proofErr w:type="spellEnd"/>
            <w:r w:rsidRPr="009D5466">
              <w:rPr>
                <w:sz w:val="16"/>
                <w:szCs w:val="20"/>
              </w:rPr>
              <w:t xml:space="preserve"> </w:t>
            </w:r>
            <w:proofErr w:type="spellStart"/>
            <w:r w:rsidRPr="009D5466">
              <w:rPr>
                <w:sz w:val="16"/>
                <w:szCs w:val="20"/>
              </w:rPr>
              <w:t>University</w:t>
            </w:r>
            <w:proofErr w:type="spellEnd"/>
            <w:r w:rsidRPr="009D5466">
              <w:rPr>
                <w:sz w:val="16"/>
                <w:szCs w:val="20"/>
              </w:rPr>
              <w:t>, USA</w:t>
            </w:r>
            <w:r w:rsidRPr="009D5466">
              <w:rPr>
                <w:sz w:val="20"/>
                <w:szCs w:val="20"/>
              </w:rPr>
              <w:t xml:space="preserve"> </w:t>
            </w:r>
          </w:p>
          <w:p w:rsidR="00356E67" w:rsidRPr="009D5466" w:rsidRDefault="00356E67" w:rsidP="00E16642">
            <w:pPr>
              <w:jc w:val="left"/>
              <w:rPr>
                <w:sz w:val="20"/>
                <w:szCs w:val="20"/>
              </w:rPr>
            </w:pPr>
            <w:r w:rsidRPr="009D5466">
              <w:rPr>
                <w:sz w:val="20"/>
                <w:szCs w:val="20"/>
              </w:rPr>
              <w:t>Nivel II</w:t>
            </w:r>
          </w:p>
        </w:tc>
        <w:tc>
          <w:tcPr>
            <w:tcW w:w="2410" w:type="dxa"/>
            <w:vAlign w:val="center"/>
          </w:tcPr>
          <w:p w:rsidR="00356E67" w:rsidRPr="009D5466" w:rsidRDefault="00356E67" w:rsidP="00E16642">
            <w:pPr>
              <w:jc w:val="left"/>
              <w:rPr>
                <w:sz w:val="20"/>
                <w:szCs w:val="20"/>
              </w:rPr>
            </w:pPr>
          </w:p>
        </w:tc>
        <w:tc>
          <w:tcPr>
            <w:tcW w:w="2159" w:type="dxa"/>
            <w:vAlign w:val="center"/>
          </w:tcPr>
          <w:p w:rsidR="00356E67" w:rsidRPr="009D5466" w:rsidRDefault="00356E67" w:rsidP="00E16642">
            <w:pPr>
              <w:jc w:val="left"/>
              <w:rPr>
                <w:sz w:val="20"/>
                <w:szCs w:val="20"/>
              </w:rPr>
            </w:pPr>
            <w:r w:rsidRPr="009D5466">
              <w:rPr>
                <w:iCs/>
                <w:sz w:val="20"/>
                <w:szCs w:val="20"/>
              </w:rPr>
              <w:t xml:space="preserve">Bases Epistemológicas de la Metodología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r w:rsidRPr="009D5466">
              <w:rPr>
                <w:sz w:val="20"/>
                <w:szCs w:val="20"/>
              </w:rPr>
              <w:t>Coordinador de línea de investigación</w:t>
            </w:r>
          </w:p>
        </w:tc>
        <w:tc>
          <w:tcPr>
            <w:tcW w:w="2366" w:type="dxa"/>
            <w:vAlign w:val="center"/>
          </w:tcPr>
          <w:p w:rsidR="00356E67" w:rsidRPr="009D5466" w:rsidRDefault="00356E67" w:rsidP="00E16642">
            <w:pPr>
              <w:jc w:val="left"/>
              <w:rPr>
                <w:sz w:val="20"/>
                <w:szCs w:val="20"/>
              </w:rPr>
            </w:pPr>
            <w:r w:rsidRPr="009D5466">
              <w:rPr>
                <w:sz w:val="20"/>
                <w:szCs w:val="20"/>
              </w:rPr>
              <w:t>Alma Alicia Benítez Pérez</w:t>
            </w:r>
          </w:p>
          <w:p w:rsidR="00356E67" w:rsidRPr="009D5466" w:rsidRDefault="00356E67" w:rsidP="00E16642">
            <w:pPr>
              <w:jc w:val="left"/>
              <w:rPr>
                <w:sz w:val="16"/>
                <w:szCs w:val="20"/>
              </w:rPr>
            </w:pPr>
            <w:r w:rsidRPr="009D5466">
              <w:rPr>
                <w:sz w:val="16"/>
                <w:szCs w:val="20"/>
              </w:rPr>
              <w:t xml:space="preserve">Doctora en Ciencias en la especialidad de Matemática Educativa </w:t>
            </w:r>
          </w:p>
          <w:p w:rsidR="00356E67" w:rsidRPr="009D5466" w:rsidRDefault="00356E67" w:rsidP="00E16642">
            <w:pPr>
              <w:jc w:val="left"/>
              <w:rPr>
                <w:sz w:val="20"/>
                <w:szCs w:val="20"/>
              </w:rPr>
            </w:pPr>
            <w:r w:rsidRPr="009D5466">
              <w:rPr>
                <w:sz w:val="16"/>
                <w:szCs w:val="20"/>
              </w:rPr>
              <w:t>CINVESTAV-IPN</w:t>
            </w:r>
            <w:r w:rsidRPr="009D5466">
              <w:rPr>
                <w:sz w:val="20"/>
                <w:szCs w:val="20"/>
              </w:rPr>
              <w:t xml:space="preserve"> </w:t>
            </w:r>
          </w:p>
          <w:p w:rsidR="00356E67" w:rsidRPr="009D5466" w:rsidRDefault="00356E67" w:rsidP="00E16642">
            <w:pPr>
              <w:jc w:val="left"/>
              <w:rPr>
                <w:sz w:val="20"/>
                <w:szCs w:val="20"/>
              </w:rPr>
            </w:pPr>
            <w:r w:rsidRPr="009D5466">
              <w:rPr>
                <w:sz w:val="20"/>
                <w:szCs w:val="20"/>
              </w:rPr>
              <w:t>Nivel I</w:t>
            </w:r>
          </w:p>
        </w:tc>
        <w:tc>
          <w:tcPr>
            <w:tcW w:w="2410" w:type="dxa"/>
            <w:vAlign w:val="center"/>
          </w:tcPr>
          <w:p w:rsidR="00356E67" w:rsidRPr="009D5466" w:rsidRDefault="00356E67" w:rsidP="00E16642">
            <w:pPr>
              <w:jc w:val="left"/>
              <w:rPr>
                <w:sz w:val="20"/>
                <w:szCs w:val="20"/>
              </w:rPr>
            </w:pPr>
          </w:p>
        </w:tc>
        <w:tc>
          <w:tcPr>
            <w:tcW w:w="2159" w:type="dxa"/>
            <w:vAlign w:val="center"/>
          </w:tcPr>
          <w:p w:rsidR="00356E67" w:rsidRPr="009D5466" w:rsidRDefault="00356E67" w:rsidP="00E16642">
            <w:pPr>
              <w:jc w:val="left"/>
              <w:rPr>
                <w:sz w:val="20"/>
                <w:szCs w:val="20"/>
              </w:rPr>
            </w:pPr>
            <w:r w:rsidRPr="009D5466">
              <w:rPr>
                <w:iCs/>
                <w:sz w:val="20"/>
                <w:szCs w:val="20"/>
              </w:rPr>
              <w:t xml:space="preserve">Bases Epistemológicas de la Metodología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r w:rsidRPr="009D5466">
              <w:rPr>
                <w:sz w:val="20"/>
                <w:szCs w:val="20"/>
              </w:rPr>
              <w:t xml:space="preserve">Coordinador </w:t>
            </w:r>
            <w:r w:rsidRPr="009D5466">
              <w:rPr>
                <w:sz w:val="20"/>
                <w:szCs w:val="20"/>
              </w:rPr>
              <w:lastRenderedPageBreak/>
              <w:t>de línea de investigación</w:t>
            </w:r>
          </w:p>
        </w:tc>
        <w:tc>
          <w:tcPr>
            <w:tcW w:w="2366" w:type="dxa"/>
            <w:vAlign w:val="center"/>
          </w:tcPr>
          <w:p w:rsidR="00356E67" w:rsidRPr="009D5466" w:rsidRDefault="00356E67" w:rsidP="00E16642">
            <w:pPr>
              <w:jc w:val="left"/>
              <w:rPr>
                <w:sz w:val="20"/>
                <w:szCs w:val="20"/>
              </w:rPr>
            </w:pPr>
            <w:r w:rsidRPr="009D5466">
              <w:rPr>
                <w:sz w:val="20"/>
                <w:szCs w:val="20"/>
              </w:rPr>
              <w:lastRenderedPageBreak/>
              <w:t xml:space="preserve">Norma Patricia </w:t>
            </w:r>
            <w:r w:rsidRPr="009D5466">
              <w:rPr>
                <w:sz w:val="20"/>
                <w:szCs w:val="20"/>
              </w:rPr>
              <w:lastRenderedPageBreak/>
              <w:t>Maldonado</w:t>
            </w:r>
          </w:p>
          <w:p w:rsidR="00356E67" w:rsidRPr="009D5466" w:rsidRDefault="00356E67" w:rsidP="00E16642">
            <w:pPr>
              <w:jc w:val="left"/>
              <w:rPr>
                <w:sz w:val="20"/>
                <w:szCs w:val="20"/>
              </w:rPr>
            </w:pPr>
            <w:r w:rsidRPr="009D5466">
              <w:rPr>
                <w:sz w:val="16"/>
                <w:szCs w:val="20"/>
              </w:rPr>
              <w:t>Doctor en Ciencias Políticas y Sociales</w:t>
            </w:r>
            <w:r w:rsidR="00962DE4" w:rsidRPr="009D5466">
              <w:rPr>
                <w:sz w:val="16"/>
                <w:szCs w:val="20"/>
              </w:rPr>
              <w:t xml:space="preserve"> </w:t>
            </w:r>
            <w:r w:rsidRPr="009D5466">
              <w:rPr>
                <w:sz w:val="16"/>
                <w:szCs w:val="20"/>
              </w:rPr>
              <w:t>UNAM</w:t>
            </w:r>
          </w:p>
          <w:p w:rsidR="00356E67" w:rsidRPr="009D5466" w:rsidRDefault="00356E67" w:rsidP="00E16642">
            <w:pPr>
              <w:jc w:val="left"/>
              <w:rPr>
                <w:sz w:val="20"/>
                <w:szCs w:val="20"/>
              </w:rPr>
            </w:pPr>
            <w:r w:rsidRPr="009D5466">
              <w:rPr>
                <w:sz w:val="20"/>
                <w:szCs w:val="20"/>
              </w:rPr>
              <w:t>Nivel I</w:t>
            </w:r>
          </w:p>
        </w:tc>
        <w:tc>
          <w:tcPr>
            <w:tcW w:w="2410" w:type="dxa"/>
            <w:vAlign w:val="center"/>
          </w:tcPr>
          <w:p w:rsidR="00356E67" w:rsidRPr="009D5466" w:rsidRDefault="00356E67" w:rsidP="00E16642">
            <w:pPr>
              <w:jc w:val="left"/>
              <w:rPr>
                <w:sz w:val="20"/>
                <w:szCs w:val="20"/>
              </w:rPr>
            </w:pPr>
          </w:p>
        </w:tc>
        <w:tc>
          <w:tcPr>
            <w:tcW w:w="2159" w:type="dxa"/>
            <w:vAlign w:val="center"/>
          </w:tcPr>
          <w:p w:rsidR="00356E67" w:rsidRPr="009D5466" w:rsidRDefault="00356E67" w:rsidP="00E16642">
            <w:pPr>
              <w:jc w:val="left"/>
              <w:rPr>
                <w:sz w:val="20"/>
                <w:szCs w:val="20"/>
              </w:rPr>
            </w:pPr>
            <w:r w:rsidRPr="009D5466">
              <w:rPr>
                <w:iCs/>
                <w:sz w:val="20"/>
                <w:szCs w:val="20"/>
              </w:rPr>
              <w:t xml:space="preserve">La Metodología en </w:t>
            </w:r>
            <w:r w:rsidRPr="009D5466">
              <w:rPr>
                <w:iCs/>
                <w:sz w:val="20"/>
                <w:szCs w:val="20"/>
              </w:rPr>
              <w:lastRenderedPageBreak/>
              <w:t>los Estudios Sociales</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r w:rsidRPr="009D5466">
              <w:rPr>
                <w:sz w:val="20"/>
                <w:szCs w:val="20"/>
              </w:rPr>
              <w:lastRenderedPageBreak/>
              <w:t>Coordinador de línea de investigación</w:t>
            </w:r>
          </w:p>
        </w:tc>
        <w:tc>
          <w:tcPr>
            <w:tcW w:w="2366" w:type="dxa"/>
            <w:vAlign w:val="center"/>
          </w:tcPr>
          <w:p w:rsidR="00356E67" w:rsidRPr="009D5466" w:rsidRDefault="00356E67" w:rsidP="00E16642">
            <w:pPr>
              <w:jc w:val="left"/>
              <w:rPr>
                <w:sz w:val="20"/>
                <w:szCs w:val="20"/>
              </w:rPr>
            </w:pPr>
            <w:r w:rsidRPr="009D5466">
              <w:rPr>
                <w:sz w:val="20"/>
                <w:szCs w:val="20"/>
              </w:rPr>
              <w:t>Héctor Marcos Díaz Santana Castaños</w:t>
            </w:r>
          </w:p>
          <w:p w:rsidR="00356E67" w:rsidRPr="009D5466" w:rsidRDefault="00356E67" w:rsidP="00E16642">
            <w:pPr>
              <w:jc w:val="left"/>
              <w:rPr>
                <w:sz w:val="16"/>
                <w:szCs w:val="20"/>
              </w:rPr>
            </w:pPr>
            <w:r w:rsidRPr="009D5466">
              <w:rPr>
                <w:sz w:val="16"/>
                <w:szCs w:val="20"/>
              </w:rPr>
              <w:t>Doctor en Derecho</w:t>
            </w:r>
          </w:p>
          <w:p w:rsidR="00356E67" w:rsidRPr="009D5466" w:rsidRDefault="00356E67" w:rsidP="00E16642">
            <w:pPr>
              <w:jc w:val="left"/>
              <w:rPr>
                <w:sz w:val="20"/>
                <w:szCs w:val="20"/>
              </w:rPr>
            </w:pPr>
            <w:r w:rsidRPr="009D5466">
              <w:rPr>
                <w:sz w:val="16"/>
                <w:szCs w:val="20"/>
              </w:rPr>
              <w:t>Universidad Complutense de Madrid</w:t>
            </w:r>
          </w:p>
          <w:p w:rsidR="00356E67" w:rsidRPr="009D5466" w:rsidRDefault="00356E67" w:rsidP="00E16642">
            <w:pPr>
              <w:jc w:val="left"/>
              <w:rPr>
                <w:sz w:val="20"/>
                <w:szCs w:val="20"/>
              </w:rPr>
            </w:pPr>
            <w:r w:rsidRPr="009D5466">
              <w:rPr>
                <w:sz w:val="20"/>
                <w:szCs w:val="20"/>
              </w:rPr>
              <w:t>Nivel I</w:t>
            </w:r>
          </w:p>
        </w:tc>
        <w:tc>
          <w:tcPr>
            <w:tcW w:w="2410" w:type="dxa"/>
            <w:vAlign w:val="center"/>
          </w:tcPr>
          <w:p w:rsidR="00356E67" w:rsidRPr="009D5466" w:rsidRDefault="00356E67" w:rsidP="00E16642">
            <w:pPr>
              <w:jc w:val="left"/>
              <w:rPr>
                <w:sz w:val="20"/>
                <w:szCs w:val="20"/>
              </w:rPr>
            </w:pPr>
          </w:p>
        </w:tc>
        <w:tc>
          <w:tcPr>
            <w:tcW w:w="2159" w:type="dxa"/>
            <w:vAlign w:val="center"/>
          </w:tcPr>
          <w:p w:rsidR="00356E67" w:rsidRPr="009D5466" w:rsidRDefault="00356E67" w:rsidP="00E16642">
            <w:pPr>
              <w:jc w:val="left"/>
              <w:rPr>
                <w:sz w:val="20"/>
                <w:szCs w:val="20"/>
              </w:rPr>
            </w:pPr>
            <w:r w:rsidRPr="009D5466">
              <w:rPr>
                <w:iCs/>
                <w:sz w:val="20"/>
                <w:szCs w:val="20"/>
              </w:rPr>
              <w:t xml:space="preserve">Filosofía e Historia de la Ciencia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Martha Leticia García Rodríguez </w:t>
            </w:r>
          </w:p>
          <w:p w:rsidR="00356E67" w:rsidRPr="009D5466" w:rsidRDefault="00356E67" w:rsidP="00E16642">
            <w:pPr>
              <w:jc w:val="left"/>
              <w:rPr>
                <w:sz w:val="16"/>
                <w:szCs w:val="20"/>
              </w:rPr>
            </w:pPr>
            <w:r w:rsidRPr="009D5466">
              <w:rPr>
                <w:sz w:val="16"/>
                <w:szCs w:val="20"/>
              </w:rPr>
              <w:t xml:space="preserve">Doctor en Ciencias en la especialidad de Matemática Educativa </w:t>
            </w:r>
          </w:p>
          <w:p w:rsidR="00356E67" w:rsidRPr="009D5466" w:rsidRDefault="00356E67" w:rsidP="00E16642">
            <w:pPr>
              <w:jc w:val="left"/>
              <w:rPr>
                <w:sz w:val="20"/>
                <w:szCs w:val="20"/>
              </w:rPr>
            </w:pPr>
            <w:r w:rsidRPr="009D5466">
              <w:rPr>
                <w:sz w:val="16"/>
                <w:szCs w:val="20"/>
              </w:rPr>
              <w:t>CINVESTAV-IPN</w:t>
            </w:r>
          </w:p>
        </w:tc>
        <w:tc>
          <w:tcPr>
            <w:tcW w:w="2159" w:type="dxa"/>
            <w:vAlign w:val="center"/>
          </w:tcPr>
          <w:p w:rsidR="00356E67" w:rsidRPr="009D5466" w:rsidRDefault="00356E67" w:rsidP="00E16642">
            <w:pPr>
              <w:jc w:val="left"/>
              <w:rPr>
                <w:sz w:val="20"/>
                <w:szCs w:val="20"/>
              </w:rPr>
            </w:pPr>
            <w:r w:rsidRPr="009D5466">
              <w:rPr>
                <w:iCs/>
                <w:sz w:val="20"/>
                <w:szCs w:val="20"/>
              </w:rPr>
              <w:t xml:space="preserve">Bases Epistemológicas de la Metodología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Luis Mauricio Rodríguez Salazar </w:t>
            </w:r>
          </w:p>
          <w:p w:rsidR="00356E67" w:rsidRPr="009D5466" w:rsidRDefault="00356E67" w:rsidP="00E16642">
            <w:pPr>
              <w:jc w:val="left"/>
              <w:rPr>
                <w:sz w:val="16"/>
                <w:szCs w:val="20"/>
              </w:rPr>
            </w:pPr>
            <w:r w:rsidRPr="009D5466">
              <w:rPr>
                <w:sz w:val="16"/>
                <w:szCs w:val="20"/>
              </w:rPr>
              <w:t xml:space="preserve">Doctor en Ciencias en la Especialidad de Matemática Educativa con estancia de investigación en la Sección de Metodología y Teoría de la Ciencia </w:t>
            </w:r>
          </w:p>
          <w:p w:rsidR="00356E67" w:rsidRPr="009D5466" w:rsidRDefault="00356E67" w:rsidP="00E16642">
            <w:pPr>
              <w:jc w:val="left"/>
              <w:rPr>
                <w:sz w:val="20"/>
                <w:szCs w:val="20"/>
              </w:rPr>
            </w:pPr>
            <w:r w:rsidRPr="009D5466">
              <w:rPr>
                <w:sz w:val="16"/>
                <w:szCs w:val="20"/>
              </w:rPr>
              <w:t>CINVESTAV-IPN</w:t>
            </w:r>
          </w:p>
        </w:tc>
        <w:tc>
          <w:tcPr>
            <w:tcW w:w="2159" w:type="dxa"/>
            <w:vAlign w:val="center"/>
          </w:tcPr>
          <w:p w:rsidR="00356E67" w:rsidRPr="009D5466" w:rsidRDefault="00356E67" w:rsidP="00E16642">
            <w:pPr>
              <w:jc w:val="left"/>
              <w:rPr>
                <w:sz w:val="20"/>
                <w:szCs w:val="20"/>
              </w:rPr>
            </w:pPr>
            <w:r w:rsidRPr="009D5466">
              <w:rPr>
                <w:iCs/>
                <w:sz w:val="20"/>
                <w:szCs w:val="20"/>
              </w:rPr>
              <w:t xml:space="preserve">Bases Epistemológicas de la Metodología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Esperanza Lozoya Meza </w:t>
            </w:r>
          </w:p>
          <w:p w:rsidR="00356E67" w:rsidRPr="009D5466" w:rsidRDefault="00356E67" w:rsidP="00E16642">
            <w:pPr>
              <w:jc w:val="left"/>
              <w:rPr>
                <w:sz w:val="16"/>
                <w:szCs w:val="20"/>
              </w:rPr>
            </w:pPr>
            <w:r w:rsidRPr="009D5466">
              <w:rPr>
                <w:sz w:val="16"/>
                <w:szCs w:val="20"/>
              </w:rPr>
              <w:t xml:space="preserve">Doctora en Ciencias Administrativas </w:t>
            </w:r>
          </w:p>
          <w:p w:rsidR="00356E67" w:rsidRPr="009D5466" w:rsidRDefault="00962DE4" w:rsidP="00E16642">
            <w:pPr>
              <w:jc w:val="left"/>
              <w:rPr>
                <w:sz w:val="20"/>
                <w:szCs w:val="20"/>
              </w:rPr>
            </w:pPr>
            <w:r w:rsidRPr="009D5466">
              <w:rPr>
                <w:sz w:val="16"/>
                <w:szCs w:val="20"/>
              </w:rPr>
              <w:t>ESCA-IPN</w:t>
            </w:r>
          </w:p>
        </w:tc>
        <w:tc>
          <w:tcPr>
            <w:tcW w:w="2159" w:type="dxa"/>
            <w:vAlign w:val="center"/>
          </w:tcPr>
          <w:p w:rsidR="00356E67" w:rsidRPr="009D5466" w:rsidRDefault="00356E67" w:rsidP="00E16642">
            <w:pPr>
              <w:jc w:val="left"/>
              <w:rPr>
                <w:sz w:val="20"/>
                <w:szCs w:val="20"/>
              </w:rPr>
            </w:pPr>
            <w:r w:rsidRPr="009D5466">
              <w:rPr>
                <w:iCs/>
                <w:sz w:val="20"/>
                <w:szCs w:val="20"/>
              </w:rPr>
              <w:t>La Metodología en los Estudios Sociales</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Carolina Manrique Nava </w:t>
            </w:r>
          </w:p>
          <w:p w:rsidR="00356E67" w:rsidRPr="009D5466" w:rsidRDefault="00356E67" w:rsidP="00E16642">
            <w:pPr>
              <w:jc w:val="left"/>
              <w:rPr>
                <w:sz w:val="16"/>
                <w:szCs w:val="20"/>
              </w:rPr>
            </w:pPr>
            <w:r w:rsidRPr="009D5466">
              <w:rPr>
                <w:sz w:val="16"/>
                <w:szCs w:val="20"/>
              </w:rPr>
              <w:t xml:space="preserve">Doctora en Ciencias en Salud Colectiva </w:t>
            </w:r>
          </w:p>
          <w:p w:rsidR="00356E67" w:rsidRPr="009D5466" w:rsidRDefault="00356E67" w:rsidP="00E16642">
            <w:pPr>
              <w:jc w:val="left"/>
              <w:rPr>
                <w:sz w:val="20"/>
                <w:szCs w:val="20"/>
              </w:rPr>
            </w:pPr>
            <w:r w:rsidRPr="009D5466">
              <w:rPr>
                <w:sz w:val="16"/>
                <w:szCs w:val="20"/>
              </w:rPr>
              <w:t>UAM-Xochimilco</w:t>
            </w:r>
          </w:p>
        </w:tc>
        <w:tc>
          <w:tcPr>
            <w:tcW w:w="2159" w:type="dxa"/>
            <w:vAlign w:val="center"/>
          </w:tcPr>
          <w:p w:rsidR="00356E67" w:rsidRPr="009D5466" w:rsidRDefault="00356E67" w:rsidP="00E16642">
            <w:pPr>
              <w:jc w:val="left"/>
              <w:rPr>
                <w:sz w:val="20"/>
                <w:szCs w:val="20"/>
              </w:rPr>
            </w:pPr>
            <w:r w:rsidRPr="009D5466">
              <w:rPr>
                <w:iCs/>
                <w:sz w:val="20"/>
                <w:szCs w:val="20"/>
              </w:rPr>
              <w:t>La Metodología en los Estudios Sociales</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Aída Castañeda Rodríguez Cabo </w:t>
            </w:r>
          </w:p>
          <w:p w:rsidR="00356E67" w:rsidRPr="009D5466" w:rsidRDefault="00356E67" w:rsidP="00E16642">
            <w:pPr>
              <w:jc w:val="left"/>
              <w:rPr>
                <w:sz w:val="16"/>
                <w:szCs w:val="20"/>
              </w:rPr>
            </w:pPr>
            <w:r w:rsidRPr="009D5466">
              <w:rPr>
                <w:sz w:val="16"/>
                <w:szCs w:val="20"/>
              </w:rPr>
              <w:t>M. en C. en Metodología de la Ciencia</w:t>
            </w:r>
          </w:p>
          <w:p w:rsidR="00356E67" w:rsidRPr="009D5466" w:rsidRDefault="00356E67" w:rsidP="00E16642">
            <w:pPr>
              <w:jc w:val="left"/>
              <w:rPr>
                <w:sz w:val="16"/>
                <w:szCs w:val="20"/>
              </w:rPr>
            </w:pPr>
            <w:r w:rsidRPr="009D5466">
              <w:rPr>
                <w:sz w:val="16"/>
                <w:szCs w:val="20"/>
              </w:rPr>
              <w:t xml:space="preserve">PESTyC-IPN </w:t>
            </w:r>
          </w:p>
          <w:p w:rsidR="00356E67" w:rsidRPr="009D5466" w:rsidRDefault="00356E67" w:rsidP="00E16642">
            <w:pPr>
              <w:jc w:val="left"/>
              <w:rPr>
                <w:sz w:val="16"/>
                <w:szCs w:val="20"/>
              </w:rPr>
            </w:pPr>
            <w:r w:rsidRPr="009D5466">
              <w:rPr>
                <w:sz w:val="16"/>
                <w:szCs w:val="20"/>
              </w:rPr>
              <w:t xml:space="preserve">Maestra en Antropología Urbana </w:t>
            </w:r>
          </w:p>
          <w:p w:rsidR="00356E67" w:rsidRPr="009D5466" w:rsidRDefault="00356E67" w:rsidP="00E16642">
            <w:pPr>
              <w:jc w:val="left"/>
              <w:rPr>
                <w:sz w:val="20"/>
                <w:szCs w:val="20"/>
              </w:rPr>
            </w:pPr>
            <w:proofErr w:type="spellStart"/>
            <w:r w:rsidRPr="009D5466">
              <w:rPr>
                <w:sz w:val="16"/>
                <w:szCs w:val="20"/>
              </w:rPr>
              <w:t>University</w:t>
            </w:r>
            <w:proofErr w:type="spellEnd"/>
            <w:r w:rsidRPr="009D5466">
              <w:rPr>
                <w:sz w:val="16"/>
                <w:szCs w:val="20"/>
              </w:rPr>
              <w:t xml:space="preserve"> of Georgia, USA</w:t>
            </w:r>
            <w:r w:rsidRPr="009D5466">
              <w:rPr>
                <w:sz w:val="20"/>
                <w:szCs w:val="20"/>
              </w:rPr>
              <w:t xml:space="preserve"> </w:t>
            </w:r>
          </w:p>
        </w:tc>
        <w:tc>
          <w:tcPr>
            <w:tcW w:w="2159" w:type="dxa"/>
            <w:vAlign w:val="center"/>
          </w:tcPr>
          <w:p w:rsidR="00356E67" w:rsidRPr="009D5466" w:rsidRDefault="00356E67" w:rsidP="00E16642">
            <w:pPr>
              <w:jc w:val="left"/>
              <w:rPr>
                <w:sz w:val="20"/>
                <w:szCs w:val="20"/>
              </w:rPr>
            </w:pPr>
            <w:r w:rsidRPr="009D5466">
              <w:rPr>
                <w:iCs/>
                <w:sz w:val="20"/>
                <w:szCs w:val="20"/>
              </w:rPr>
              <w:t>La Metodología en los Estudios Sociales</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Ángel Eduardo Vargas </w:t>
            </w:r>
            <w:r w:rsidRPr="009D5466">
              <w:rPr>
                <w:sz w:val="20"/>
                <w:szCs w:val="20"/>
              </w:rPr>
              <w:lastRenderedPageBreak/>
              <w:t xml:space="preserve">Garza </w:t>
            </w:r>
          </w:p>
          <w:p w:rsidR="00356E67" w:rsidRPr="009D5466" w:rsidRDefault="00356E67" w:rsidP="00E16642">
            <w:pPr>
              <w:jc w:val="left"/>
              <w:rPr>
                <w:sz w:val="16"/>
                <w:szCs w:val="20"/>
              </w:rPr>
            </w:pPr>
            <w:r w:rsidRPr="009D5466">
              <w:rPr>
                <w:sz w:val="16"/>
                <w:szCs w:val="20"/>
              </w:rPr>
              <w:t xml:space="preserve">Doctor en Ciencias Sociales </w:t>
            </w:r>
          </w:p>
          <w:p w:rsidR="00356E67" w:rsidRPr="009D5466" w:rsidRDefault="00356E67" w:rsidP="00E16642">
            <w:pPr>
              <w:jc w:val="left"/>
              <w:rPr>
                <w:sz w:val="20"/>
                <w:szCs w:val="20"/>
              </w:rPr>
            </w:pPr>
            <w:r w:rsidRPr="009D5466">
              <w:rPr>
                <w:sz w:val="16"/>
                <w:szCs w:val="20"/>
              </w:rPr>
              <w:t>UAM-Xochimilco</w:t>
            </w:r>
          </w:p>
        </w:tc>
        <w:tc>
          <w:tcPr>
            <w:tcW w:w="2159" w:type="dxa"/>
            <w:vAlign w:val="center"/>
          </w:tcPr>
          <w:p w:rsidR="00356E67" w:rsidRPr="009D5466" w:rsidRDefault="00356E67" w:rsidP="00E16642">
            <w:pPr>
              <w:jc w:val="left"/>
              <w:rPr>
                <w:sz w:val="20"/>
                <w:szCs w:val="20"/>
              </w:rPr>
            </w:pPr>
            <w:r w:rsidRPr="009D5466">
              <w:rPr>
                <w:iCs/>
                <w:sz w:val="20"/>
                <w:szCs w:val="20"/>
              </w:rPr>
              <w:lastRenderedPageBreak/>
              <w:t xml:space="preserve">Filosofía e Historia de </w:t>
            </w:r>
            <w:r w:rsidRPr="009D5466">
              <w:rPr>
                <w:iCs/>
                <w:sz w:val="20"/>
                <w:szCs w:val="20"/>
              </w:rPr>
              <w:lastRenderedPageBreak/>
              <w:t xml:space="preserve">la Ciencia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r w:rsidRPr="009D5466">
              <w:rPr>
                <w:sz w:val="20"/>
                <w:szCs w:val="20"/>
              </w:rPr>
              <w:t xml:space="preserve"> </w:t>
            </w:r>
          </w:p>
        </w:tc>
        <w:tc>
          <w:tcPr>
            <w:tcW w:w="2410" w:type="dxa"/>
            <w:vAlign w:val="center"/>
          </w:tcPr>
          <w:p w:rsidR="00356E67" w:rsidRPr="009D5466" w:rsidRDefault="00356E67" w:rsidP="00E16642">
            <w:pPr>
              <w:jc w:val="left"/>
              <w:rPr>
                <w:sz w:val="20"/>
                <w:szCs w:val="20"/>
              </w:rPr>
            </w:pPr>
            <w:r w:rsidRPr="009D5466">
              <w:rPr>
                <w:sz w:val="20"/>
                <w:szCs w:val="20"/>
              </w:rPr>
              <w:t xml:space="preserve">Silverio Gerardo Armijo Mena </w:t>
            </w:r>
          </w:p>
          <w:p w:rsidR="00356E67" w:rsidRPr="009D5466" w:rsidRDefault="00356E67" w:rsidP="00E16642">
            <w:pPr>
              <w:jc w:val="left"/>
              <w:rPr>
                <w:sz w:val="16"/>
                <w:szCs w:val="20"/>
              </w:rPr>
            </w:pPr>
            <w:proofErr w:type="spellStart"/>
            <w:r w:rsidRPr="009D5466">
              <w:rPr>
                <w:sz w:val="16"/>
                <w:szCs w:val="20"/>
              </w:rPr>
              <w:t>Doctorante</w:t>
            </w:r>
            <w:proofErr w:type="spellEnd"/>
            <w:r w:rsidRPr="009D5466">
              <w:rPr>
                <w:sz w:val="16"/>
                <w:szCs w:val="20"/>
              </w:rPr>
              <w:t xml:space="preserve"> en Ciencias con Especialidad Matemática Educativa </w:t>
            </w:r>
          </w:p>
          <w:p w:rsidR="00356E67" w:rsidRPr="009D5466" w:rsidRDefault="00356E67" w:rsidP="00E16642">
            <w:pPr>
              <w:jc w:val="left"/>
              <w:rPr>
                <w:sz w:val="16"/>
                <w:szCs w:val="20"/>
              </w:rPr>
            </w:pPr>
            <w:r w:rsidRPr="009D5466">
              <w:rPr>
                <w:sz w:val="16"/>
                <w:szCs w:val="20"/>
              </w:rPr>
              <w:t xml:space="preserve">CINVESTAV-IPN </w:t>
            </w:r>
          </w:p>
          <w:p w:rsidR="00356E67" w:rsidRPr="009D5466" w:rsidRDefault="00356E67" w:rsidP="00E16642">
            <w:pPr>
              <w:jc w:val="left"/>
              <w:rPr>
                <w:sz w:val="16"/>
                <w:szCs w:val="20"/>
              </w:rPr>
            </w:pPr>
            <w:r w:rsidRPr="009D5466">
              <w:rPr>
                <w:sz w:val="16"/>
                <w:szCs w:val="20"/>
              </w:rPr>
              <w:t>Maestro en Política y Gestión del Cambio Tecnológico</w:t>
            </w:r>
          </w:p>
          <w:p w:rsidR="00356E67" w:rsidRPr="009D5466" w:rsidRDefault="00356E67" w:rsidP="00E16642">
            <w:pPr>
              <w:jc w:val="left"/>
              <w:rPr>
                <w:sz w:val="20"/>
                <w:szCs w:val="20"/>
              </w:rPr>
            </w:pPr>
            <w:r w:rsidRPr="009D5466">
              <w:rPr>
                <w:sz w:val="16"/>
                <w:szCs w:val="20"/>
              </w:rPr>
              <w:t>CIECAS-IPN</w:t>
            </w:r>
          </w:p>
        </w:tc>
        <w:tc>
          <w:tcPr>
            <w:tcW w:w="2159" w:type="dxa"/>
            <w:vAlign w:val="center"/>
          </w:tcPr>
          <w:p w:rsidR="00356E67" w:rsidRPr="009D5466" w:rsidRDefault="00356E67" w:rsidP="00E16642">
            <w:pPr>
              <w:jc w:val="left"/>
              <w:rPr>
                <w:sz w:val="20"/>
                <w:szCs w:val="20"/>
              </w:rPr>
            </w:pPr>
            <w:r w:rsidRPr="009D5466">
              <w:rPr>
                <w:iCs/>
                <w:sz w:val="20"/>
                <w:szCs w:val="20"/>
              </w:rPr>
              <w:t xml:space="preserve">Bases Epistemológicas de la Metodología </w:t>
            </w:r>
          </w:p>
          <w:p w:rsidR="00356E67" w:rsidRPr="009D5466" w:rsidRDefault="00356E67" w:rsidP="00E16642">
            <w:pPr>
              <w:jc w:val="left"/>
              <w:rPr>
                <w:sz w:val="20"/>
                <w:szCs w:val="20"/>
              </w:rPr>
            </w:pPr>
          </w:p>
        </w:tc>
      </w:tr>
      <w:tr w:rsidR="00356E67" w:rsidRPr="009D5466"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Lucio Ricardo Martínez Marín </w:t>
            </w:r>
          </w:p>
          <w:p w:rsidR="00356E67" w:rsidRPr="009D5466" w:rsidRDefault="00356E67" w:rsidP="00E16642">
            <w:pPr>
              <w:jc w:val="left"/>
              <w:rPr>
                <w:sz w:val="16"/>
                <w:szCs w:val="20"/>
              </w:rPr>
            </w:pPr>
            <w:r w:rsidRPr="009D5466">
              <w:rPr>
                <w:sz w:val="16"/>
                <w:szCs w:val="20"/>
              </w:rPr>
              <w:t xml:space="preserve">Maestro en Historia </w:t>
            </w:r>
          </w:p>
          <w:p w:rsidR="00356E67" w:rsidRPr="009D5466" w:rsidRDefault="00356E67" w:rsidP="00E16642">
            <w:pPr>
              <w:jc w:val="left"/>
              <w:rPr>
                <w:sz w:val="20"/>
                <w:szCs w:val="20"/>
              </w:rPr>
            </w:pPr>
            <w:r w:rsidRPr="009D5466">
              <w:rPr>
                <w:sz w:val="16"/>
                <w:szCs w:val="20"/>
              </w:rPr>
              <w:t>UAM-Iztapalapa</w:t>
            </w:r>
          </w:p>
        </w:tc>
        <w:tc>
          <w:tcPr>
            <w:tcW w:w="2159" w:type="dxa"/>
            <w:vAlign w:val="center"/>
          </w:tcPr>
          <w:p w:rsidR="00356E67" w:rsidRPr="009D5466" w:rsidRDefault="00356E67" w:rsidP="00E16642">
            <w:pPr>
              <w:jc w:val="left"/>
              <w:rPr>
                <w:sz w:val="20"/>
                <w:szCs w:val="20"/>
              </w:rPr>
            </w:pPr>
            <w:r w:rsidRPr="009D5466">
              <w:rPr>
                <w:iCs/>
                <w:sz w:val="20"/>
                <w:szCs w:val="20"/>
              </w:rPr>
              <w:t xml:space="preserve">Filosofía e Historia de la Ciencia </w:t>
            </w:r>
          </w:p>
          <w:p w:rsidR="00356E67" w:rsidRPr="009D5466" w:rsidRDefault="00356E67" w:rsidP="00E16642">
            <w:pPr>
              <w:jc w:val="left"/>
              <w:rPr>
                <w:sz w:val="20"/>
                <w:szCs w:val="20"/>
              </w:rPr>
            </w:pPr>
          </w:p>
        </w:tc>
      </w:tr>
      <w:tr w:rsidR="00356E67" w:rsidRPr="00A35A0F" w:rsidTr="00C05449">
        <w:tc>
          <w:tcPr>
            <w:tcW w:w="1428" w:type="dxa"/>
            <w:vAlign w:val="center"/>
          </w:tcPr>
          <w:p w:rsidR="00356E67" w:rsidRPr="009D5466" w:rsidRDefault="00356E67" w:rsidP="00E16642">
            <w:pPr>
              <w:jc w:val="left"/>
              <w:rPr>
                <w:sz w:val="20"/>
                <w:szCs w:val="20"/>
              </w:rPr>
            </w:pPr>
          </w:p>
        </w:tc>
        <w:tc>
          <w:tcPr>
            <w:tcW w:w="2366" w:type="dxa"/>
            <w:vAlign w:val="center"/>
          </w:tcPr>
          <w:p w:rsidR="00356E67" w:rsidRPr="009D5466" w:rsidRDefault="00356E67" w:rsidP="00E16642">
            <w:pPr>
              <w:jc w:val="left"/>
              <w:rPr>
                <w:sz w:val="20"/>
                <w:szCs w:val="20"/>
              </w:rPr>
            </w:pPr>
          </w:p>
        </w:tc>
        <w:tc>
          <w:tcPr>
            <w:tcW w:w="2410" w:type="dxa"/>
            <w:vAlign w:val="center"/>
          </w:tcPr>
          <w:p w:rsidR="00356E67" w:rsidRPr="009D5466" w:rsidRDefault="00356E67" w:rsidP="00E16642">
            <w:pPr>
              <w:jc w:val="left"/>
              <w:rPr>
                <w:sz w:val="20"/>
                <w:szCs w:val="20"/>
              </w:rPr>
            </w:pPr>
            <w:r w:rsidRPr="009D5466">
              <w:rPr>
                <w:sz w:val="20"/>
                <w:szCs w:val="20"/>
              </w:rPr>
              <w:t xml:space="preserve">Esperanza Verduzco Ríos </w:t>
            </w:r>
          </w:p>
          <w:p w:rsidR="00356E67" w:rsidRPr="009D5466" w:rsidRDefault="00356E67" w:rsidP="00E16642">
            <w:pPr>
              <w:jc w:val="left"/>
              <w:rPr>
                <w:sz w:val="16"/>
                <w:szCs w:val="20"/>
              </w:rPr>
            </w:pPr>
            <w:r w:rsidRPr="009D5466">
              <w:rPr>
                <w:sz w:val="16"/>
                <w:szCs w:val="20"/>
              </w:rPr>
              <w:t xml:space="preserve">M. en C. en Metodología de la Ciencia </w:t>
            </w:r>
          </w:p>
          <w:p w:rsidR="00356E67" w:rsidRPr="009D5466" w:rsidRDefault="00356E67" w:rsidP="00E16642">
            <w:pPr>
              <w:jc w:val="left"/>
              <w:rPr>
                <w:sz w:val="20"/>
                <w:szCs w:val="20"/>
                <w:lang w:val="es-MX"/>
              </w:rPr>
            </w:pPr>
            <w:r w:rsidRPr="009D5466">
              <w:rPr>
                <w:sz w:val="16"/>
                <w:szCs w:val="20"/>
              </w:rPr>
              <w:t>PESTyC-IPN</w:t>
            </w:r>
          </w:p>
        </w:tc>
        <w:tc>
          <w:tcPr>
            <w:tcW w:w="2159" w:type="dxa"/>
            <w:vAlign w:val="center"/>
          </w:tcPr>
          <w:p w:rsidR="00356E67" w:rsidRPr="00A35A0F" w:rsidRDefault="00356E67" w:rsidP="00E16642">
            <w:pPr>
              <w:jc w:val="left"/>
              <w:rPr>
                <w:sz w:val="20"/>
                <w:szCs w:val="20"/>
              </w:rPr>
            </w:pPr>
            <w:r w:rsidRPr="009D5466">
              <w:rPr>
                <w:iCs/>
                <w:sz w:val="20"/>
                <w:szCs w:val="20"/>
              </w:rPr>
              <w:t>Filosofía e Historia de la Ciencia</w:t>
            </w:r>
            <w:r w:rsidRPr="00A35A0F">
              <w:rPr>
                <w:iCs/>
                <w:sz w:val="20"/>
                <w:szCs w:val="20"/>
              </w:rPr>
              <w:t xml:space="preserve"> </w:t>
            </w:r>
          </w:p>
          <w:p w:rsidR="00356E67" w:rsidRPr="00A35A0F" w:rsidRDefault="00356E67" w:rsidP="00E16642">
            <w:pPr>
              <w:jc w:val="left"/>
              <w:rPr>
                <w:sz w:val="20"/>
                <w:szCs w:val="20"/>
              </w:rPr>
            </w:pPr>
          </w:p>
        </w:tc>
      </w:tr>
    </w:tbl>
    <w:p w:rsidR="00356E67" w:rsidRPr="00962DE4" w:rsidRDefault="00356E67" w:rsidP="00C05449">
      <w:pPr>
        <w:ind w:firstLine="708"/>
        <w:rPr>
          <w:sz w:val="18"/>
          <w:szCs w:val="18"/>
        </w:rPr>
      </w:pPr>
      <w:r w:rsidRPr="00962DE4">
        <w:rPr>
          <w:sz w:val="18"/>
          <w:szCs w:val="18"/>
        </w:rPr>
        <w:t xml:space="preserve">Fuente: Elaboración propia a partir de CIECAS </w:t>
      </w:r>
      <w:sdt>
        <w:sdtPr>
          <w:rPr>
            <w:sz w:val="18"/>
            <w:szCs w:val="18"/>
          </w:rPr>
          <w:id w:val="3196067"/>
          <w:citation/>
        </w:sdtPr>
        <w:sdtEndPr/>
        <w:sdtContent>
          <w:r w:rsidR="0072146B" w:rsidRPr="00962DE4">
            <w:rPr>
              <w:sz w:val="18"/>
              <w:szCs w:val="18"/>
            </w:rPr>
            <w:fldChar w:fldCharType="begin"/>
          </w:r>
          <w:r w:rsidRPr="00962DE4">
            <w:rPr>
              <w:sz w:val="18"/>
              <w:szCs w:val="18"/>
            </w:rPr>
            <w:instrText xml:space="preserve"> CITATION CIE101 \n  \t  \l 2058  </w:instrText>
          </w:r>
          <w:r w:rsidR="0072146B" w:rsidRPr="00962DE4">
            <w:rPr>
              <w:sz w:val="18"/>
              <w:szCs w:val="18"/>
            </w:rPr>
            <w:fldChar w:fldCharType="separate"/>
          </w:r>
          <w:r w:rsidRPr="00962DE4">
            <w:rPr>
              <w:noProof/>
              <w:sz w:val="18"/>
              <w:szCs w:val="18"/>
            </w:rPr>
            <w:t>(2010a)</w:t>
          </w:r>
          <w:r w:rsidR="0072146B" w:rsidRPr="00962DE4">
            <w:rPr>
              <w:sz w:val="18"/>
              <w:szCs w:val="18"/>
            </w:rPr>
            <w:fldChar w:fldCharType="end"/>
          </w:r>
        </w:sdtContent>
      </w:sdt>
      <w:r w:rsidRPr="00962DE4">
        <w:rPr>
          <w:sz w:val="18"/>
          <w:szCs w:val="18"/>
        </w:rPr>
        <w:t xml:space="preserve"> y CIECAS </w:t>
      </w:r>
      <w:sdt>
        <w:sdtPr>
          <w:rPr>
            <w:sz w:val="18"/>
            <w:szCs w:val="18"/>
          </w:rPr>
          <w:id w:val="3196080"/>
          <w:citation/>
        </w:sdtPr>
        <w:sdtEndPr/>
        <w:sdtContent>
          <w:r w:rsidR="0072146B" w:rsidRPr="00962DE4">
            <w:rPr>
              <w:sz w:val="18"/>
              <w:szCs w:val="18"/>
            </w:rPr>
            <w:fldChar w:fldCharType="begin"/>
          </w:r>
          <w:r w:rsidRPr="00962DE4">
            <w:rPr>
              <w:sz w:val="18"/>
              <w:szCs w:val="18"/>
            </w:rPr>
            <w:instrText xml:space="preserve"> CITATION CIE10 \n  \t  \l 2058  </w:instrText>
          </w:r>
          <w:r w:rsidR="0072146B" w:rsidRPr="00962DE4">
            <w:rPr>
              <w:sz w:val="18"/>
              <w:szCs w:val="18"/>
            </w:rPr>
            <w:fldChar w:fldCharType="separate"/>
          </w:r>
          <w:r w:rsidRPr="00962DE4">
            <w:rPr>
              <w:noProof/>
              <w:sz w:val="18"/>
              <w:szCs w:val="18"/>
            </w:rPr>
            <w:t>(2010b)</w:t>
          </w:r>
          <w:r w:rsidR="0072146B" w:rsidRPr="00962DE4">
            <w:rPr>
              <w:sz w:val="18"/>
              <w:szCs w:val="18"/>
            </w:rPr>
            <w:fldChar w:fldCharType="end"/>
          </w:r>
        </w:sdtContent>
      </w:sdt>
    </w:p>
    <w:p w:rsidR="00356E67" w:rsidRDefault="00356E67" w:rsidP="00E16642"/>
    <w:p w:rsidR="00962DE4" w:rsidRDefault="00962DE4" w:rsidP="00E16642">
      <w:pPr>
        <w:rPr>
          <w:bCs/>
        </w:rPr>
      </w:pPr>
      <w:r>
        <w:t xml:space="preserve">La maestría ahora tiene una marcada orientación a la formación de investigadores, con el estudio de la metodología de la ciencia que se dirigirá de acuerdo a la disciplina de formación que tenga el estudiante. Como se pudo apreciar en la tabla anterior, se redefinen las Líneas de Generación de Conocimiento tradicionales: </w:t>
      </w:r>
      <w:r w:rsidRPr="0045121A">
        <w:rPr>
          <w:bCs/>
        </w:rPr>
        <w:t xml:space="preserve">Historia y </w:t>
      </w:r>
      <w:r>
        <w:rPr>
          <w:bCs/>
        </w:rPr>
        <w:t>f</w:t>
      </w:r>
      <w:r w:rsidRPr="0045121A">
        <w:rPr>
          <w:bCs/>
        </w:rPr>
        <w:t xml:space="preserve">ilosofía de las </w:t>
      </w:r>
      <w:r>
        <w:rPr>
          <w:bCs/>
        </w:rPr>
        <w:t>c</w:t>
      </w:r>
      <w:r w:rsidRPr="0045121A">
        <w:rPr>
          <w:bCs/>
        </w:rPr>
        <w:t>iencias</w:t>
      </w:r>
      <w:r>
        <w:rPr>
          <w:bCs/>
        </w:rPr>
        <w:t>,</w:t>
      </w:r>
      <w:r w:rsidRPr="0045121A">
        <w:t xml:space="preserve"> </w:t>
      </w:r>
      <w:r>
        <w:rPr>
          <w:bCs/>
        </w:rPr>
        <w:t>Estudios sociales de las c</w:t>
      </w:r>
      <w:r w:rsidRPr="0045121A">
        <w:rPr>
          <w:bCs/>
        </w:rPr>
        <w:t>iencias</w:t>
      </w:r>
      <w:r>
        <w:rPr>
          <w:bCs/>
        </w:rPr>
        <w:t>,</w:t>
      </w:r>
      <w:r w:rsidRPr="0045121A">
        <w:rPr>
          <w:bCs/>
        </w:rPr>
        <w:t xml:space="preserve"> Lógica y </w:t>
      </w:r>
      <w:r>
        <w:rPr>
          <w:bCs/>
        </w:rPr>
        <w:t>e</w:t>
      </w:r>
      <w:r w:rsidRPr="0045121A">
        <w:rPr>
          <w:bCs/>
        </w:rPr>
        <w:t>pistemología</w:t>
      </w:r>
      <w:r>
        <w:rPr>
          <w:bCs/>
        </w:rPr>
        <w:t xml:space="preserve"> y </w:t>
      </w:r>
      <w:r w:rsidRPr="0045121A">
        <w:rPr>
          <w:bCs/>
        </w:rPr>
        <w:t xml:space="preserve">Educación </w:t>
      </w:r>
      <w:r>
        <w:rPr>
          <w:bCs/>
        </w:rPr>
        <w:t>C</w:t>
      </w:r>
      <w:r w:rsidRPr="0045121A">
        <w:rPr>
          <w:bCs/>
        </w:rPr>
        <w:t>ientífica</w:t>
      </w:r>
      <w:r>
        <w:rPr>
          <w:bCs/>
        </w:rPr>
        <w:t>.</w:t>
      </w:r>
    </w:p>
    <w:p w:rsidR="001976CB" w:rsidRDefault="001976CB" w:rsidP="00E16642"/>
    <w:p w:rsidR="001976CB" w:rsidRDefault="001976CB" w:rsidP="00E16642">
      <w:r>
        <w:t xml:space="preserve">Se propuso una carga académica de 58 créditos a cursar en cinco semestres, las asignaturas en el primer semestre son Historia de la ciencia, Filosofía de la ciencia, un Seminario departamental y una asignatura obligatoria de acuerdo a línea de investigación del alumno; en el segundo semestre, Epistemología, Lógica, un Seminario Departamental y nuevamente una asignatura obligatoria de acuerdo a la línea de investigación; en el tercer semestre, Sociología de la ciencia, una materia optativa que fomenta la movilidad estudiantil a otras unidades académicas </w:t>
      </w:r>
      <w:r>
        <w:lastRenderedPageBreak/>
        <w:t>del IPN o de otras instituciones de educación superior, y un Seminario departamental; en el cuarto semestre el  último Seminario departamental y del segundo al quinto semestre la asignatura de trabajo de tesis.</w:t>
      </w:r>
    </w:p>
    <w:p w:rsidR="001976CB" w:rsidRDefault="001976CB" w:rsidP="00E16642"/>
    <w:p w:rsidR="001976CB" w:rsidRDefault="001976CB" w:rsidP="00E16642">
      <w:r>
        <w:t>En la tabla siguiente pueden observarse las asignaturas que se consideran obligatorias de acuerdo a la línea de investigación a la que se adscriba el alumno:</w:t>
      </w:r>
    </w:p>
    <w:p w:rsidR="001976CB" w:rsidRDefault="001976CB" w:rsidP="00E16642"/>
    <w:tbl>
      <w:tblPr>
        <w:tblW w:w="8445" w:type="dxa"/>
        <w:jc w:val="center"/>
        <w:tblInd w:w="-3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7"/>
        <w:gridCol w:w="5288"/>
      </w:tblGrid>
      <w:tr w:rsidR="001976CB" w:rsidRPr="001976CB" w:rsidTr="00C05449">
        <w:trPr>
          <w:trHeight w:val="375"/>
          <w:jc w:val="center"/>
        </w:trPr>
        <w:tc>
          <w:tcPr>
            <w:tcW w:w="3157" w:type="dxa"/>
            <w:shd w:val="clear" w:color="auto" w:fill="auto"/>
            <w:vAlign w:val="center"/>
          </w:tcPr>
          <w:p w:rsidR="001976CB" w:rsidRPr="001976CB" w:rsidRDefault="001976CB" w:rsidP="00E16642">
            <w:pPr>
              <w:jc w:val="center"/>
              <w:rPr>
                <w:b/>
                <w:sz w:val="20"/>
                <w:szCs w:val="20"/>
              </w:rPr>
            </w:pPr>
            <w:r w:rsidRPr="001976CB">
              <w:rPr>
                <w:b/>
                <w:sz w:val="20"/>
                <w:szCs w:val="20"/>
              </w:rPr>
              <w:t>Línea de investigación</w:t>
            </w:r>
          </w:p>
        </w:tc>
        <w:tc>
          <w:tcPr>
            <w:tcW w:w="5288" w:type="dxa"/>
            <w:shd w:val="clear" w:color="auto" w:fill="auto"/>
            <w:vAlign w:val="center"/>
          </w:tcPr>
          <w:p w:rsidR="001976CB" w:rsidRPr="001976CB" w:rsidRDefault="001976CB" w:rsidP="00E16642">
            <w:pPr>
              <w:jc w:val="center"/>
              <w:rPr>
                <w:b/>
                <w:sz w:val="20"/>
                <w:szCs w:val="20"/>
              </w:rPr>
            </w:pPr>
            <w:r w:rsidRPr="001976CB">
              <w:rPr>
                <w:b/>
                <w:sz w:val="20"/>
                <w:szCs w:val="20"/>
              </w:rPr>
              <w:t>Semestre I y II</w:t>
            </w:r>
          </w:p>
        </w:tc>
      </w:tr>
      <w:tr w:rsidR="001976CB" w:rsidRPr="001976CB" w:rsidTr="00C05449">
        <w:trPr>
          <w:trHeight w:val="765"/>
          <w:jc w:val="center"/>
        </w:trPr>
        <w:tc>
          <w:tcPr>
            <w:tcW w:w="3157" w:type="dxa"/>
            <w:shd w:val="clear" w:color="auto" w:fill="auto"/>
            <w:vAlign w:val="center"/>
          </w:tcPr>
          <w:p w:rsidR="001976CB" w:rsidRPr="001976CB" w:rsidRDefault="001976CB" w:rsidP="00E16642">
            <w:pPr>
              <w:jc w:val="left"/>
              <w:rPr>
                <w:sz w:val="20"/>
                <w:szCs w:val="20"/>
              </w:rPr>
            </w:pPr>
            <w:r w:rsidRPr="001976CB">
              <w:rPr>
                <w:sz w:val="20"/>
                <w:szCs w:val="20"/>
              </w:rPr>
              <w:t>Historia y Filosofía de las Ciencias</w:t>
            </w:r>
          </w:p>
        </w:tc>
        <w:tc>
          <w:tcPr>
            <w:tcW w:w="5288" w:type="dxa"/>
            <w:shd w:val="clear" w:color="auto" w:fill="auto"/>
            <w:vAlign w:val="center"/>
          </w:tcPr>
          <w:p w:rsidR="001976CB" w:rsidRPr="001976CB" w:rsidRDefault="001976CB" w:rsidP="00E16642">
            <w:pPr>
              <w:jc w:val="left"/>
              <w:rPr>
                <w:sz w:val="20"/>
                <w:szCs w:val="20"/>
              </w:rPr>
            </w:pPr>
            <w:r w:rsidRPr="001976CB">
              <w:rPr>
                <w:sz w:val="20"/>
                <w:szCs w:val="20"/>
              </w:rPr>
              <w:t>-Metodología de la Investigación Histórica</w:t>
            </w:r>
          </w:p>
          <w:p w:rsidR="001976CB" w:rsidRPr="001976CB" w:rsidRDefault="001976CB" w:rsidP="00E16642">
            <w:pPr>
              <w:jc w:val="left"/>
              <w:rPr>
                <w:sz w:val="20"/>
                <w:szCs w:val="20"/>
              </w:rPr>
            </w:pPr>
            <w:r w:rsidRPr="001976CB">
              <w:rPr>
                <w:sz w:val="20"/>
                <w:szCs w:val="20"/>
              </w:rPr>
              <w:t>-Métodos y Técnicas de Investigación Documental</w:t>
            </w:r>
          </w:p>
          <w:p w:rsidR="001976CB" w:rsidRPr="001976CB" w:rsidRDefault="001976CB" w:rsidP="00E16642">
            <w:pPr>
              <w:jc w:val="left"/>
              <w:rPr>
                <w:sz w:val="20"/>
                <w:szCs w:val="20"/>
              </w:rPr>
            </w:pPr>
            <w:r w:rsidRPr="001976CB">
              <w:rPr>
                <w:sz w:val="20"/>
                <w:szCs w:val="20"/>
              </w:rPr>
              <w:t>-Teoría de sistemas y Ciencias de la Complejidad</w:t>
            </w:r>
          </w:p>
        </w:tc>
      </w:tr>
      <w:tr w:rsidR="001976CB" w:rsidRPr="001976CB" w:rsidTr="00C05449">
        <w:trPr>
          <w:trHeight w:val="600"/>
          <w:jc w:val="center"/>
        </w:trPr>
        <w:tc>
          <w:tcPr>
            <w:tcW w:w="3157" w:type="dxa"/>
            <w:shd w:val="clear" w:color="auto" w:fill="auto"/>
            <w:vAlign w:val="center"/>
          </w:tcPr>
          <w:p w:rsidR="001976CB" w:rsidRPr="001976CB" w:rsidRDefault="001976CB" w:rsidP="00E16642">
            <w:pPr>
              <w:jc w:val="left"/>
              <w:rPr>
                <w:sz w:val="20"/>
                <w:szCs w:val="20"/>
              </w:rPr>
            </w:pPr>
            <w:r w:rsidRPr="001976CB">
              <w:rPr>
                <w:sz w:val="20"/>
                <w:szCs w:val="20"/>
              </w:rPr>
              <w:t>Estudios Sociales de las Ciencias</w:t>
            </w:r>
          </w:p>
        </w:tc>
        <w:tc>
          <w:tcPr>
            <w:tcW w:w="5288" w:type="dxa"/>
            <w:shd w:val="clear" w:color="auto" w:fill="auto"/>
            <w:vAlign w:val="center"/>
          </w:tcPr>
          <w:p w:rsidR="001976CB" w:rsidRPr="001976CB" w:rsidRDefault="001976CB" w:rsidP="00E16642">
            <w:pPr>
              <w:jc w:val="left"/>
              <w:rPr>
                <w:sz w:val="20"/>
                <w:szCs w:val="20"/>
              </w:rPr>
            </w:pPr>
            <w:r w:rsidRPr="001976CB">
              <w:rPr>
                <w:sz w:val="20"/>
                <w:szCs w:val="20"/>
              </w:rPr>
              <w:t>-Metodología de la Investigación Social</w:t>
            </w:r>
          </w:p>
          <w:p w:rsidR="001976CB" w:rsidRPr="001976CB" w:rsidRDefault="001976CB" w:rsidP="00E16642">
            <w:pPr>
              <w:jc w:val="left"/>
              <w:rPr>
                <w:sz w:val="20"/>
                <w:szCs w:val="20"/>
              </w:rPr>
            </w:pPr>
            <w:r w:rsidRPr="001976CB">
              <w:rPr>
                <w:sz w:val="20"/>
                <w:szCs w:val="20"/>
              </w:rPr>
              <w:t>-Ciencia, Tecnología y Sociedad</w:t>
            </w:r>
          </w:p>
          <w:p w:rsidR="001976CB" w:rsidRPr="001976CB" w:rsidRDefault="001976CB" w:rsidP="00E16642">
            <w:pPr>
              <w:jc w:val="left"/>
              <w:rPr>
                <w:sz w:val="20"/>
                <w:szCs w:val="20"/>
              </w:rPr>
            </w:pPr>
            <w:r w:rsidRPr="001976CB">
              <w:rPr>
                <w:sz w:val="20"/>
                <w:szCs w:val="20"/>
              </w:rPr>
              <w:t>-Metodología de la Investigación Cualitativa</w:t>
            </w:r>
          </w:p>
          <w:p w:rsidR="001976CB" w:rsidRPr="001976CB" w:rsidRDefault="001976CB" w:rsidP="00E16642">
            <w:pPr>
              <w:jc w:val="left"/>
              <w:rPr>
                <w:sz w:val="20"/>
                <w:szCs w:val="20"/>
              </w:rPr>
            </w:pPr>
            <w:r w:rsidRPr="001976CB">
              <w:rPr>
                <w:sz w:val="20"/>
                <w:szCs w:val="20"/>
              </w:rPr>
              <w:t>-Metodología de la Ciencia Económica</w:t>
            </w:r>
          </w:p>
          <w:p w:rsidR="001976CB" w:rsidRPr="001976CB" w:rsidRDefault="001976CB" w:rsidP="00E16642">
            <w:pPr>
              <w:jc w:val="left"/>
              <w:rPr>
                <w:sz w:val="20"/>
                <w:szCs w:val="20"/>
              </w:rPr>
            </w:pPr>
            <w:r w:rsidRPr="001976CB">
              <w:rPr>
                <w:sz w:val="20"/>
                <w:szCs w:val="20"/>
              </w:rPr>
              <w:t>-Probabilidad y Estadística  en Ciencias Sociales</w:t>
            </w:r>
          </w:p>
        </w:tc>
      </w:tr>
      <w:tr w:rsidR="001976CB" w:rsidRPr="001976CB" w:rsidTr="00C05449">
        <w:trPr>
          <w:trHeight w:val="496"/>
          <w:jc w:val="center"/>
        </w:trPr>
        <w:tc>
          <w:tcPr>
            <w:tcW w:w="3157" w:type="dxa"/>
            <w:shd w:val="clear" w:color="auto" w:fill="auto"/>
            <w:vAlign w:val="center"/>
          </w:tcPr>
          <w:p w:rsidR="001976CB" w:rsidRPr="001976CB" w:rsidRDefault="001976CB" w:rsidP="00E16642">
            <w:pPr>
              <w:jc w:val="left"/>
              <w:rPr>
                <w:sz w:val="20"/>
                <w:szCs w:val="20"/>
              </w:rPr>
            </w:pPr>
            <w:r w:rsidRPr="001976CB">
              <w:rPr>
                <w:sz w:val="20"/>
                <w:szCs w:val="20"/>
              </w:rPr>
              <w:t>Lógica y Epistemología</w:t>
            </w:r>
          </w:p>
        </w:tc>
        <w:tc>
          <w:tcPr>
            <w:tcW w:w="5288" w:type="dxa"/>
            <w:shd w:val="clear" w:color="auto" w:fill="auto"/>
            <w:vAlign w:val="center"/>
          </w:tcPr>
          <w:p w:rsidR="001976CB" w:rsidRPr="001976CB" w:rsidRDefault="001976CB" w:rsidP="00E16642">
            <w:pPr>
              <w:jc w:val="left"/>
              <w:rPr>
                <w:sz w:val="20"/>
                <w:szCs w:val="20"/>
              </w:rPr>
            </w:pPr>
            <w:r w:rsidRPr="001976CB">
              <w:rPr>
                <w:sz w:val="20"/>
                <w:szCs w:val="20"/>
              </w:rPr>
              <w:t xml:space="preserve">-Diseño de experimentos en ciencias naturales </w:t>
            </w:r>
          </w:p>
          <w:p w:rsidR="001976CB" w:rsidRPr="001976CB" w:rsidRDefault="001976CB" w:rsidP="00E16642">
            <w:pPr>
              <w:jc w:val="left"/>
              <w:rPr>
                <w:sz w:val="20"/>
                <w:szCs w:val="20"/>
              </w:rPr>
            </w:pPr>
            <w:r w:rsidRPr="001976CB">
              <w:rPr>
                <w:sz w:val="20"/>
                <w:szCs w:val="20"/>
              </w:rPr>
              <w:t>-Métodos del Discurso Científico</w:t>
            </w:r>
          </w:p>
          <w:p w:rsidR="001976CB" w:rsidRPr="001976CB" w:rsidRDefault="001976CB" w:rsidP="00E16642">
            <w:pPr>
              <w:jc w:val="left"/>
              <w:rPr>
                <w:sz w:val="20"/>
                <w:szCs w:val="20"/>
              </w:rPr>
            </w:pPr>
            <w:r w:rsidRPr="001976CB">
              <w:rPr>
                <w:sz w:val="20"/>
                <w:szCs w:val="20"/>
              </w:rPr>
              <w:t>-Métodos Heurísticos</w:t>
            </w:r>
          </w:p>
          <w:p w:rsidR="001976CB" w:rsidRPr="001976CB" w:rsidRDefault="001976CB" w:rsidP="00E16642">
            <w:pPr>
              <w:jc w:val="left"/>
              <w:rPr>
                <w:sz w:val="20"/>
                <w:szCs w:val="20"/>
              </w:rPr>
            </w:pPr>
            <w:r w:rsidRPr="001976CB">
              <w:rPr>
                <w:sz w:val="20"/>
                <w:szCs w:val="20"/>
              </w:rPr>
              <w:t>-Métodos de Comprobación</w:t>
            </w:r>
          </w:p>
        </w:tc>
      </w:tr>
      <w:tr w:rsidR="001976CB" w:rsidRPr="001976CB" w:rsidTr="00C05449">
        <w:trPr>
          <w:trHeight w:val="496"/>
          <w:jc w:val="center"/>
        </w:trPr>
        <w:tc>
          <w:tcPr>
            <w:tcW w:w="3157" w:type="dxa"/>
            <w:shd w:val="clear" w:color="auto" w:fill="auto"/>
            <w:vAlign w:val="center"/>
          </w:tcPr>
          <w:p w:rsidR="001976CB" w:rsidRPr="001976CB" w:rsidRDefault="001976CB" w:rsidP="00E16642">
            <w:pPr>
              <w:jc w:val="left"/>
              <w:rPr>
                <w:sz w:val="20"/>
                <w:szCs w:val="20"/>
              </w:rPr>
            </w:pPr>
            <w:r w:rsidRPr="001976CB">
              <w:rPr>
                <w:sz w:val="20"/>
                <w:szCs w:val="20"/>
              </w:rPr>
              <w:t xml:space="preserve">Educación Científica </w:t>
            </w:r>
          </w:p>
        </w:tc>
        <w:tc>
          <w:tcPr>
            <w:tcW w:w="5288" w:type="dxa"/>
            <w:shd w:val="clear" w:color="auto" w:fill="auto"/>
            <w:vAlign w:val="center"/>
          </w:tcPr>
          <w:p w:rsidR="001976CB" w:rsidRPr="001976CB" w:rsidRDefault="001976CB" w:rsidP="00E16642">
            <w:pPr>
              <w:jc w:val="left"/>
              <w:rPr>
                <w:sz w:val="20"/>
                <w:szCs w:val="20"/>
              </w:rPr>
            </w:pPr>
            <w:r w:rsidRPr="001976CB">
              <w:rPr>
                <w:sz w:val="20"/>
                <w:szCs w:val="20"/>
              </w:rPr>
              <w:t xml:space="preserve">-Fundamentos de la Biología </w:t>
            </w:r>
          </w:p>
          <w:p w:rsidR="001976CB" w:rsidRPr="001976CB" w:rsidRDefault="001976CB" w:rsidP="00E16642">
            <w:pPr>
              <w:jc w:val="left"/>
              <w:rPr>
                <w:sz w:val="20"/>
                <w:szCs w:val="20"/>
              </w:rPr>
            </w:pPr>
            <w:r w:rsidRPr="001976CB">
              <w:rPr>
                <w:sz w:val="20"/>
                <w:szCs w:val="20"/>
              </w:rPr>
              <w:t xml:space="preserve">-Fundamentos de la Física </w:t>
            </w:r>
          </w:p>
          <w:p w:rsidR="001976CB" w:rsidRPr="001976CB" w:rsidRDefault="001976CB" w:rsidP="00E16642">
            <w:pPr>
              <w:jc w:val="left"/>
              <w:rPr>
                <w:sz w:val="20"/>
                <w:szCs w:val="20"/>
              </w:rPr>
            </w:pPr>
            <w:r w:rsidRPr="001976CB">
              <w:rPr>
                <w:sz w:val="20"/>
                <w:szCs w:val="20"/>
              </w:rPr>
              <w:t>-Fundamentos de las Ciencias Sociales</w:t>
            </w:r>
          </w:p>
          <w:p w:rsidR="001976CB" w:rsidRPr="001976CB" w:rsidRDefault="001976CB" w:rsidP="00E16642">
            <w:pPr>
              <w:jc w:val="left"/>
              <w:rPr>
                <w:sz w:val="20"/>
                <w:szCs w:val="20"/>
              </w:rPr>
            </w:pPr>
            <w:r w:rsidRPr="001976CB">
              <w:rPr>
                <w:sz w:val="20"/>
                <w:szCs w:val="20"/>
              </w:rPr>
              <w:t>-Metodología de la Investigación Educativa</w:t>
            </w:r>
          </w:p>
          <w:p w:rsidR="001976CB" w:rsidRPr="001976CB" w:rsidRDefault="001976CB" w:rsidP="00E16642">
            <w:pPr>
              <w:jc w:val="left"/>
              <w:rPr>
                <w:sz w:val="20"/>
                <w:szCs w:val="20"/>
              </w:rPr>
            </w:pPr>
            <w:r w:rsidRPr="001976CB">
              <w:rPr>
                <w:sz w:val="20"/>
                <w:szCs w:val="20"/>
              </w:rPr>
              <w:t>-Fundamentos de la Tecnología</w:t>
            </w:r>
          </w:p>
          <w:p w:rsidR="001976CB" w:rsidRPr="001976CB" w:rsidRDefault="001976CB" w:rsidP="00E16642">
            <w:pPr>
              <w:jc w:val="left"/>
              <w:rPr>
                <w:sz w:val="20"/>
                <w:szCs w:val="20"/>
              </w:rPr>
            </w:pPr>
            <w:r w:rsidRPr="001976CB">
              <w:rPr>
                <w:sz w:val="20"/>
                <w:szCs w:val="20"/>
              </w:rPr>
              <w:t>-Fundamentos de las Matemáticas</w:t>
            </w:r>
          </w:p>
        </w:tc>
      </w:tr>
    </w:tbl>
    <w:p w:rsidR="001976CB" w:rsidRDefault="001976CB" w:rsidP="00C05449">
      <w:pPr>
        <w:ind w:firstLine="708"/>
        <w:rPr>
          <w:sz w:val="20"/>
        </w:rPr>
      </w:pPr>
      <w:r w:rsidRPr="001976CB">
        <w:rPr>
          <w:sz w:val="20"/>
        </w:rPr>
        <w:t xml:space="preserve">Fuente: </w:t>
      </w:r>
      <w:proofErr w:type="spellStart"/>
      <w:r w:rsidRPr="001976CB">
        <w:rPr>
          <w:sz w:val="20"/>
        </w:rPr>
        <w:t>Ciecas</w:t>
      </w:r>
      <w:proofErr w:type="spellEnd"/>
      <w:r w:rsidRPr="001976CB">
        <w:rPr>
          <w:sz w:val="20"/>
        </w:rPr>
        <w:t xml:space="preserve"> </w:t>
      </w:r>
      <w:sdt>
        <w:sdtPr>
          <w:rPr>
            <w:sz w:val="20"/>
          </w:rPr>
          <w:id w:val="5190575"/>
          <w:citation/>
        </w:sdtPr>
        <w:sdtEndPr/>
        <w:sdtContent>
          <w:r w:rsidR="0072146B" w:rsidRPr="001976CB">
            <w:rPr>
              <w:sz w:val="20"/>
            </w:rPr>
            <w:fldChar w:fldCharType="begin"/>
          </w:r>
          <w:r w:rsidRPr="001976CB">
            <w:rPr>
              <w:sz w:val="20"/>
            </w:rPr>
            <w:instrText xml:space="preserve"> CITATION CIE10 \n  \t  \l 2058  </w:instrText>
          </w:r>
          <w:r w:rsidR="0072146B" w:rsidRPr="001976CB">
            <w:rPr>
              <w:sz w:val="20"/>
            </w:rPr>
            <w:fldChar w:fldCharType="separate"/>
          </w:r>
          <w:r w:rsidRPr="001976CB">
            <w:rPr>
              <w:noProof/>
              <w:sz w:val="20"/>
            </w:rPr>
            <w:t>(2010b)</w:t>
          </w:r>
          <w:r w:rsidR="0072146B" w:rsidRPr="001976CB">
            <w:rPr>
              <w:sz w:val="20"/>
            </w:rPr>
            <w:fldChar w:fldCharType="end"/>
          </w:r>
        </w:sdtContent>
      </w:sdt>
    </w:p>
    <w:p w:rsidR="001976CB" w:rsidRDefault="001976CB" w:rsidP="00E16642">
      <w:pPr>
        <w:rPr>
          <w:szCs w:val="24"/>
        </w:rPr>
      </w:pPr>
    </w:p>
    <w:p w:rsidR="00302972" w:rsidRDefault="00302972" w:rsidP="00E16642">
      <w:pPr>
        <w:rPr>
          <w:szCs w:val="24"/>
        </w:rPr>
      </w:pPr>
      <w:r>
        <w:rPr>
          <w:szCs w:val="24"/>
        </w:rPr>
        <w:t>Debido a la carga académica y a la planeación establecida para que en el quinto semestre esté concluida la tesis para obtener el grado, se especifica que los estudiantes dediquen tiempo completo al programa, se ofrecen dos tipos de becas (la institucional y la de adscripción a un proyecto de investigación), incluso esta dedicación es preferible para los que laboran dentro del mismo IPN (aunque están contemplados casos especiales que serían mínimos de dedicación parcial).</w:t>
      </w:r>
    </w:p>
    <w:p w:rsidR="00302972" w:rsidRDefault="00302972" w:rsidP="00E16642">
      <w:pPr>
        <w:rPr>
          <w:szCs w:val="24"/>
        </w:rPr>
      </w:pPr>
    </w:p>
    <w:p w:rsidR="00302972" w:rsidRDefault="00302972" w:rsidP="00E16642">
      <w:pPr>
        <w:rPr>
          <w:szCs w:val="24"/>
        </w:rPr>
      </w:pPr>
      <w:r>
        <w:rPr>
          <w:szCs w:val="24"/>
        </w:rPr>
        <w:t>En esta nueva convocatoria se estipula también que el perfil de egreso será hacia el sector de la investigación (universidades o centros de investigación) o hacia la docencia.</w:t>
      </w:r>
    </w:p>
    <w:p w:rsidR="00302972" w:rsidRDefault="00302972" w:rsidP="00E16642">
      <w:pPr>
        <w:rPr>
          <w:szCs w:val="24"/>
        </w:rPr>
      </w:pPr>
    </w:p>
    <w:p w:rsidR="00302972" w:rsidRPr="00302972" w:rsidRDefault="00302972" w:rsidP="00E16642">
      <w:pPr>
        <w:rPr>
          <w:szCs w:val="24"/>
        </w:rPr>
      </w:pPr>
      <w:r>
        <w:rPr>
          <w:szCs w:val="24"/>
        </w:rPr>
        <w:t>Esta última orientación que se le ha dado al programa de MCMC es claramente a la formación de investigadores, a la reflexión sobre metodología dentro de la disciplina del alumno. En este trabajo se favorece esta postura y los siguientes capítulos servirán de marco para impulsar el programa bajo los criterios del posgrado a nivel institucional y a nivel nacional.</w:t>
      </w:r>
    </w:p>
    <w:p w:rsidR="001976CB" w:rsidRDefault="001976CB" w:rsidP="00E16642">
      <w:r>
        <w:t xml:space="preserve"> </w:t>
      </w:r>
    </w:p>
    <w:p w:rsidR="001976CB" w:rsidRDefault="001976CB" w:rsidP="00E16642">
      <w:pPr>
        <w:sectPr w:rsidR="001976CB" w:rsidSect="00086BBD">
          <w:headerReference w:type="default" r:id="rId17"/>
          <w:pgSz w:w="12240" w:h="15840" w:code="1"/>
          <w:pgMar w:top="1418" w:right="1701" w:bottom="1418" w:left="1701" w:header="709" w:footer="709" w:gutter="0"/>
          <w:pgNumType w:start="1"/>
          <w:cols w:space="708"/>
          <w:docGrid w:linePitch="360"/>
        </w:sectPr>
      </w:pPr>
    </w:p>
    <w:p w:rsidR="00356E67" w:rsidRPr="001C3F30" w:rsidRDefault="001C3F30" w:rsidP="00E16642">
      <w:pPr>
        <w:jc w:val="center"/>
        <w:rPr>
          <w:b/>
        </w:rPr>
      </w:pPr>
      <w:bookmarkStart w:id="20" w:name="_Toc243320725"/>
      <w:r>
        <w:rPr>
          <w:b/>
        </w:rPr>
        <w:lastRenderedPageBreak/>
        <w:t>CAPÍTULO 2</w:t>
      </w:r>
    </w:p>
    <w:p w:rsidR="00356E67" w:rsidRPr="00EB5CF0" w:rsidRDefault="00356E67" w:rsidP="00E16642"/>
    <w:p w:rsidR="00356E67" w:rsidRPr="00EB5CF0" w:rsidRDefault="00436C36" w:rsidP="00E16642">
      <w:pPr>
        <w:pStyle w:val="Ttulo1"/>
      </w:pPr>
      <w:bookmarkStart w:id="21" w:name="_Toc308691485"/>
      <w:r w:rsidRPr="00EB5CF0">
        <w:t>Instituto Politécnico Nacional (Nuevo Modelo Educativo)</w:t>
      </w:r>
      <w:bookmarkEnd w:id="21"/>
    </w:p>
    <w:p w:rsidR="00356E67" w:rsidRPr="00EB5CF0" w:rsidRDefault="00356E67" w:rsidP="00E16642"/>
    <w:p w:rsidR="00356E67" w:rsidRPr="00EB5CF0" w:rsidRDefault="00356E67" w:rsidP="00E16642">
      <w:r w:rsidRPr="00EB5CF0">
        <w:t>La Maestría en Ciencias en Metodología de la Ciencia surgió en un inicio en el Proyecto de Estudios Sociales Tecnológicos y Científicos con sede en la Escuela Superior de Ingeniería y Mecánica y Eléctrica (ESIME) Culhuacán, y actualmente se imparte en el Centro de Estudios Económicos Administrativos y Sociales (CIECAS), ambas Unidades Académicas del Instituto Politécnico Nacional. Por lo que ha seguido los parámetros establecidos por dicho Instituto y también es partícipe de los cambios del nuevo Modelo Educativo que realiza el IPN ante la Reforma Académica, en este capítulo se tratarán dichas modificaciones. El papel del posgrado y la investigación en este Modelo Educativo es preponderante por lo que otorga espacio para el desarrollo o continuación del programa de la maestría con orientación científica que aborda cuestiones de Metodología de la Ciencia.</w:t>
      </w:r>
    </w:p>
    <w:p w:rsidR="00356E67" w:rsidRPr="00EB5CF0" w:rsidRDefault="00356E67" w:rsidP="00E16642"/>
    <w:p w:rsidR="00356E67" w:rsidRPr="00EB5CF0" w:rsidRDefault="00356E67" w:rsidP="00E16642">
      <w:r w:rsidRPr="00EB5CF0">
        <w:t>El Instituto Politécnico Nacional es un organismo perteneciente al Estado Mexicano, desconcentrado de la Secretaría de Educación Pública, creado para consolidar el progreso del país a través de la educación, media superior y superior, la independencia económica, científica, tecnológica, cultural y política. Para ello promueve la investigación científica y tecnológica; la formación de  profesionales e investigadores en diversos campos de la ciencia y la tecnología; la preparación técnica de los trabajadores; creación, conservación y difusión de la cultura; y el garantizar acceso a la educación a estudiantes de escasos recursos</w:t>
      </w:r>
      <w:sdt>
        <w:sdtPr>
          <w:id w:val="1151548"/>
          <w:citation/>
        </w:sdtPr>
        <w:sdtEndPr/>
        <w:sdtContent>
          <w:r w:rsidR="0072146B" w:rsidRPr="00EB5CF0">
            <w:fldChar w:fldCharType="begin"/>
          </w:r>
          <w:r w:rsidRPr="00EB5CF0">
            <w:instrText xml:space="preserve"> CITATION Pre3a \l 2058  </w:instrText>
          </w:r>
          <w:r w:rsidR="0072146B" w:rsidRPr="00EB5CF0">
            <w:fldChar w:fldCharType="separate"/>
          </w:r>
          <w:r w:rsidRPr="00EB5CF0">
            <w:rPr>
              <w:noProof/>
            </w:rPr>
            <w:t xml:space="preserve"> (IPN, 1985)</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 xml:space="preserve">En materia de posgrado, el más alto grado formativo-educativo, cuenta con diversos programas en los niveles de especialidad (29), maestría (53) y doctorado (22), en las ramas de Ingeniería y Ciencias Físico Matemáticas; Ciencias Biomédicas o Interdisciplinarios </w:t>
      </w:r>
      <w:sdt>
        <w:sdtPr>
          <w:id w:val="7238215"/>
          <w:citation/>
        </w:sdtPr>
        <w:sdtEndPr/>
        <w:sdtContent>
          <w:r w:rsidR="0072146B" w:rsidRPr="00EB5CF0">
            <w:fldChar w:fldCharType="begin"/>
          </w:r>
          <w:r w:rsidRPr="00EB5CF0">
            <w:instrText xml:space="preserve"> CITATION Sec09 \l 2058  </w:instrText>
          </w:r>
          <w:r w:rsidR="0072146B" w:rsidRPr="00EB5CF0">
            <w:fldChar w:fldCharType="separate"/>
          </w:r>
          <w:r w:rsidRPr="00EB5CF0">
            <w:rPr>
              <w:noProof/>
            </w:rPr>
            <w:t>(SIP IPN, 2009a)</w:t>
          </w:r>
          <w:r w:rsidR="0072146B" w:rsidRPr="00EB5CF0">
            <w:fldChar w:fldCharType="end"/>
          </w:r>
        </w:sdtContent>
      </w:sdt>
      <w:r w:rsidRPr="00EB5CF0">
        <w:t xml:space="preserve">. Dichos programas son impartidos en 16 Centros de Estudios Científicos y Tecnológicos, 24 Escuelas y </w:t>
      </w:r>
      <w:r w:rsidRPr="00EB5CF0">
        <w:lastRenderedPageBreak/>
        <w:t xml:space="preserve">Unidades y 18 Centros de Investigación; ubicados en la ciudad de México y en 19 entidades federativas. Además, tiene una de las plantas más importantes de investigadores en el país, 320 miembros del Sistema Nacional de Investigadores </w:t>
      </w:r>
      <w:sdt>
        <w:sdtPr>
          <w:id w:val="1549069"/>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(IPN, 2003, Cuaderno 1)</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La participación del Instituto con respecto al desarrollo educativo a nivel superior en México siempre ha sido importante, dentro de los programas de posgrado la matrícula ha tenido un aumento constante en los últimos años y además se han creado nuevos programas que cubren las necesidades nacionales</w:t>
      </w:r>
      <w:r w:rsidRPr="00EB5CF0">
        <w:rPr>
          <w:vertAlign w:val="superscript"/>
        </w:rPr>
        <w:footnoteReference w:id="15"/>
      </w:r>
      <w:r w:rsidRPr="00EB5CF0">
        <w:t xml:space="preserve">. Sin embargo, a pesar de los datos tan alentadores la contribución relativa a nivel nacional ha disminuido, ya que del 12% que cubría de la demanda en 1971, en el 2002 </w:t>
      </w:r>
      <w:r w:rsidR="00AB32CA">
        <w:t>solo</w:t>
      </w:r>
      <w:r w:rsidRPr="00EB5CF0">
        <w:t xml:space="preserve"> cubre el 2% </w:t>
      </w:r>
      <w:sdt>
        <w:sdtPr>
          <w:id w:val="1549067"/>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(IPN, 2003, Cuaderno 1)</w:t>
          </w:r>
          <w:r w:rsidR="0072146B" w:rsidRPr="00EB5CF0">
            <w:fldChar w:fldCharType="end"/>
          </w:r>
        </w:sdtContent>
      </w:sdt>
      <w:r w:rsidRPr="00EB5CF0">
        <w:t>, lo que indica que se debe trabajar en la mejora de los programas de posgrado que ya se imparten o en la apertura de nuevos espacios para atender a la población estudiantil que lo requiera.</w:t>
      </w:r>
    </w:p>
    <w:p w:rsidR="00356E67" w:rsidRPr="00EB5CF0" w:rsidRDefault="00356E67" w:rsidP="00E16642"/>
    <w:p w:rsidR="00356E67" w:rsidRPr="00EB5CF0" w:rsidRDefault="00356E67" w:rsidP="00E16642">
      <w:r w:rsidRPr="00EB5CF0">
        <w:t xml:space="preserve">En el IPN se imparten tres tipos de posgrado: los programas </w:t>
      </w:r>
      <w:r w:rsidRPr="00EB5CF0">
        <w:rPr>
          <w:i/>
        </w:rPr>
        <w:t>profesionalizantes</w:t>
      </w:r>
      <w:r w:rsidRPr="00EB5CF0">
        <w:t xml:space="preserve"> en donde se profundiza el conocimiento en un campo específico, están determinados por los requerimientos del mercado laboral y abarcan niveles de especialidad y maestría; los programas </w:t>
      </w:r>
      <w:r w:rsidRPr="00EB5CF0">
        <w:rPr>
          <w:i/>
        </w:rPr>
        <w:t>de corte científico</w:t>
      </w:r>
      <w:r w:rsidRPr="00EB5CF0">
        <w:t xml:space="preserve">, que preparan para la investigación para la adquisición de conocimiento, integrada por niveles de maestría y doctorado; y los programas </w:t>
      </w:r>
      <w:r w:rsidRPr="00EB5CF0">
        <w:rPr>
          <w:i/>
        </w:rPr>
        <w:t>en ingenierí</w:t>
      </w:r>
      <w:r w:rsidRPr="00EB5CF0">
        <w:t>a (maestría o doctorado) que comparten la orientación a la investigación con los de corte científico pero dirigida a la aplicación de conocimientos, a la innovación tecnológica y a la vinculación con el sector productivo</w:t>
      </w:r>
      <w:sdt>
        <w:sdtPr>
          <w:id w:val="4835695"/>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 xml:space="preserve"> (IPN, 2004, Cuaderno 4)</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La Secretaría de Investigación y Posgrado (SIP) es el órgano encargado de las políticas institucionales para generar, aplicar y transmitir el conocimiento científico; siguiendo el Reglamento de Estudios de Posgrado, establece que dentro del IPN se dividen los programas en dos orientaciones: la </w:t>
      </w:r>
      <w:r w:rsidRPr="00EB5CF0">
        <w:rPr>
          <w:i/>
        </w:rPr>
        <w:t>profesional</w:t>
      </w:r>
      <w:r w:rsidRPr="00EB5CF0">
        <w:t xml:space="preserve"> en donde se integra </w:t>
      </w:r>
      <w:r w:rsidRPr="00EB5CF0">
        <w:lastRenderedPageBreak/>
        <w:t xml:space="preserve">la especialidad y la especialidad médica, las maestrías en administración y algunas maestrías en ingeniería; y la </w:t>
      </w:r>
      <w:r w:rsidRPr="00EB5CF0">
        <w:rPr>
          <w:i/>
        </w:rPr>
        <w:t>científica</w:t>
      </w:r>
      <w:r w:rsidRPr="00EB5CF0">
        <w:t xml:space="preserve"> que incluye algunas maestrías en  ingeniería, las maestrías en ciencias y los doctorados en ingeniería y en ciencias </w:t>
      </w:r>
      <w:r w:rsidRPr="00EB5CF0">
        <w:rPr>
          <w:noProof/>
        </w:rPr>
        <w:t>(IPN, 2006, Art. 4to)</w:t>
      </w:r>
      <w:r w:rsidRPr="00EB5CF0">
        <w:t xml:space="preserve">. </w:t>
      </w:r>
    </w:p>
    <w:p w:rsidR="00356E67" w:rsidRPr="00EB5CF0" w:rsidRDefault="00356E67" w:rsidP="00E16642"/>
    <w:p w:rsidR="00356E67" w:rsidRPr="00EB5CF0" w:rsidRDefault="00356E67" w:rsidP="00E16642">
      <w:r w:rsidRPr="00EB5CF0">
        <w:t>La diferencia entre las dos orientaciones (profesional y científica) radica en que en la primera se forman profesionistas con conocimientos actualizados, amplios y sólidos, de acuerdo a las condiciones del ambiente laboral del campo y del área de estudios,  a través de “líneas de profesionalización” y en la segunda se habilita al alumno en actividades de actividades de investigación, aplicación del conocimiento científico o técnico de manera innovadora en la práctica académica o profesional a través de “líneas de investigación” (IPN, 2006, Art. 7 y Art. 15).</w:t>
      </w:r>
    </w:p>
    <w:p w:rsidR="00356E67" w:rsidRPr="00EB5CF0" w:rsidRDefault="00356E67" w:rsidP="00E16642"/>
    <w:p w:rsidR="00356E67" w:rsidRPr="00EB5CF0" w:rsidRDefault="00356E67" w:rsidP="00E16642">
      <w:r w:rsidRPr="00EB5CF0">
        <w:t>De manera general, ambos tipos de posgrado deben cubrir requisitos como infraestructura básica, equipamiento, servicios académicos y administrativos, recursos financieros, lista de requisitos que deben cubrir los aspirantes, vinculación en forma de colaboración con otras unidades académicas o instituciones externas, además vinculación con el sector productivo, de servicios y educativo. Además, en cuanto a la planta docente, el 50% de los profesores deberán haber obtenido su último grado académico en una institución educativa distinta al IPN, además deben estar integrados en tercias por cada Línea de Aplicación y Generación del Conocimiento del posgrado en el que participan, asimismo mantener al menos un alumno inscrito en el programa por cada profesor de tiempo completo. Sin embargo hay requisitos inherentes a cada una de las orientaciones, aquí se presentan los de las maestrías con orientación profesional y en ciencia que son las dos opciones por las que transitado el programa de MCMC.</w:t>
      </w:r>
    </w:p>
    <w:p w:rsidR="00356E67" w:rsidRPr="00EB5CF0" w:rsidRDefault="00356E67" w:rsidP="00E16642"/>
    <w:tbl>
      <w:tblPr>
        <w:tblStyle w:val="Tablaconcuadrcula"/>
        <w:tblpPr w:leftFromText="141" w:rightFromText="141" w:vertAnchor="text" w:horzAnchor="margin" w:tblpX="392" w:tblpY="81"/>
        <w:tblW w:w="0" w:type="auto"/>
        <w:tblLook w:val="04A0" w:firstRow="1" w:lastRow="0" w:firstColumn="1" w:lastColumn="0" w:noHBand="0" w:noVBand="1"/>
      </w:tblPr>
      <w:tblGrid>
        <w:gridCol w:w="1984"/>
        <w:gridCol w:w="3119"/>
        <w:gridCol w:w="3056"/>
      </w:tblGrid>
      <w:tr w:rsidR="00356E67" w:rsidRPr="00AA0575" w:rsidTr="00C05449">
        <w:tc>
          <w:tcPr>
            <w:tcW w:w="1984" w:type="dxa"/>
            <w:vAlign w:val="center"/>
          </w:tcPr>
          <w:p w:rsidR="00356E67" w:rsidRPr="00AA0575" w:rsidRDefault="00356E67" w:rsidP="00C05449">
            <w:pPr>
              <w:jc w:val="left"/>
              <w:rPr>
                <w:bCs/>
                <w:sz w:val="20"/>
                <w:szCs w:val="20"/>
                <w:lang w:val="es-MX"/>
              </w:rPr>
            </w:pPr>
          </w:p>
        </w:tc>
        <w:tc>
          <w:tcPr>
            <w:tcW w:w="3119" w:type="dxa"/>
            <w:vAlign w:val="center"/>
          </w:tcPr>
          <w:p w:rsidR="00356E67" w:rsidRPr="00AA0575" w:rsidRDefault="00356E67" w:rsidP="00C05449">
            <w:pPr>
              <w:jc w:val="center"/>
              <w:rPr>
                <w:b/>
                <w:sz w:val="20"/>
                <w:szCs w:val="20"/>
                <w:lang w:val="es-MX"/>
              </w:rPr>
            </w:pPr>
            <w:r w:rsidRPr="00AA0575">
              <w:rPr>
                <w:b/>
                <w:bCs/>
                <w:sz w:val="20"/>
                <w:szCs w:val="20"/>
                <w:lang w:val="es-MX"/>
              </w:rPr>
              <w:t>Profesionalizante</w:t>
            </w:r>
          </w:p>
        </w:tc>
        <w:tc>
          <w:tcPr>
            <w:tcW w:w="3056" w:type="dxa"/>
            <w:vAlign w:val="center"/>
          </w:tcPr>
          <w:p w:rsidR="00356E67" w:rsidRPr="00AA0575" w:rsidRDefault="00356E67" w:rsidP="00C05449">
            <w:pPr>
              <w:jc w:val="center"/>
              <w:rPr>
                <w:b/>
                <w:bCs/>
                <w:sz w:val="20"/>
                <w:szCs w:val="20"/>
                <w:lang w:val="es-MX"/>
              </w:rPr>
            </w:pPr>
            <w:r w:rsidRPr="00AA0575">
              <w:rPr>
                <w:b/>
                <w:bCs/>
                <w:sz w:val="20"/>
                <w:szCs w:val="20"/>
                <w:lang w:val="es-MX"/>
              </w:rPr>
              <w:t>Investigación</w:t>
            </w:r>
          </w:p>
        </w:tc>
      </w:tr>
      <w:tr w:rsidR="00356E67" w:rsidRPr="00AA0575" w:rsidTr="00C05449">
        <w:tc>
          <w:tcPr>
            <w:tcW w:w="1984" w:type="dxa"/>
            <w:vAlign w:val="center"/>
          </w:tcPr>
          <w:p w:rsidR="00356E67" w:rsidRPr="00AA0575" w:rsidRDefault="00356E67" w:rsidP="00C05449">
            <w:pPr>
              <w:jc w:val="left"/>
              <w:rPr>
                <w:bCs/>
                <w:i/>
                <w:sz w:val="20"/>
                <w:szCs w:val="20"/>
                <w:lang w:val="es-MX"/>
              </w:rPr>
            </w:pPr>
            <w:r w:rsidRPr="00AA0575">
              <w:rPr>
                <w:i/>
                <w:iCs/>
                <w:sz w:val="20"/>
                <w:szCs w:val="20"/>
                <w:lang w:val="es-MX"/>
              </w:rPr>
              <w:t xml:space="preserve">Tiempo de dedicación por parte de los </w:t>
            </w:r>
            <w:r w:rsidRPr="00AA0575">
              <w:rPr>
                <w:i/>
                <w:iCs/>
                <w:sz w:val="20"/>
                <w:szCs w:val="20"/>
                <w:lang w:val="es-MX"/>
              </w:rPr>
              <w:lastRenderedPageBreak/>
              <w:t>estudiantes</w:t>
            </w:r>
          </w:p>
        </w:tc>
        <w:tc>
          <w:tcPr>
            <w:tcW w:w="3119" w:type="dxa"/>
            <w:vAlign w:val="center"/>
          </w:tcPr>
          <w:p w:rsidR="00356E67" w:rsidRPr="00AA0575" w:rsidRDefault="00356E67" w:rsidP="00C05449">
            <w:pPr>
              <w:jc w:val="left"/>
              <w:rPr>
                <w:sz w:val="20"/>
                <w:szCs w:val="20"/>
                <w:lang w:val="es-MX"/>
              </w:rPr>
            </w:pPr>
            <w:r w:rsidRPr="00AA0575">
              <w:rPr>
                <w:sz w:val="20"/>
                <w:szCs w:val="20"/>
                <w:lang w:val="es-MX"/>
              </w:rPr>
              <w:lastRenderedPageBreak/>
              <w:t>Tiempo completo o parcial</w:t>
            </w:r>
            <w:r w:rsidRPr="00AA0575">
              <w:rPr>
                <w:sz w:val="20"/>
                <w:szCs w:val="20"/>
                <w:lang w:val="es-MX"/>
              </w:rPr>
              <w:br/>
              <w:t>30 hrs. ó +</w:t>
            </w:r>
            <w:r w:rsidRPr="00AA0575">
              <w:rPr>
                <w:sz w:val="20"/>
                <w:szCs w:val="20"/>
                <w:lang w:val="es-MX"/>
              </w:rPr>
              <w:br/>
              <w:t xml:space="preserve">8 hrs. </w:t>
            </w:r>
            <w:r w:rsidR="00302972" w:rsidRPr="00AA0575">
              <w:rPr>
                <w:sz w:val="20"/>
                <w:szCs w:val="20"/>
                <w:lang w:val="es-MX"/>
              </w:rPr>
              <w:t>R</w:t>
            </w:r>
            <w:r w:rsidRPr="00AA0575">
              <w:rPr>
                <w:sz w:val="20"/>
                <w:szCs w:val="20"/>
                <w:lang w:val="es-MX"/>
              </w:rPr>
              <w:t>emuneradas</w:t>
            </w:r>
          </w:p>
        </w:tc>
        <w:tc>
          <w:tcPr>
            <w:tcW w:w="3056" w:type="dxa"/>
            <w:vAlign w:val="center"/>
          </w:tcPr>
          <w:p w:rsidR="00356E67" w:rsidRPr="00AA0575" w:rsidRDefault="00356E67" w:rsidP="00C05449">
            <w:pPr>
              <w:jc w:val="left"/>
              <w:rPr>
                <w:sz w:val="20"/>
                <w:szCs w:val="20"/>
                <w:lang w:val="es-MX"/>
              </w:rPr>
            </w:pPr>
            <w:r w:rsidRPr="00AA0575">
              <w:rPr>
                <w:sz w:val="20"/>
                <w:szCs w:val="20"/>
                <w:lang w:val="es-MX"/>
              </w:rPr>
              <w:t>Totalidad sea de tiempo completo preferentemente</w:t>
            </w:r>
            <w:r w:rsidRPr="00AA0575">
              <w:rPr>
                <w:sz w:val="20"/>
                <w:szCs w:val="20"/>
                <w:lang w:val="es-MX"/>
              </w:rPr>
              <w:br/>
              <w:t>8hrs. remuneradas</w:t>
            </w:r>
          </w:p>
        </w:tc>
      </w:tr>
      <w:tr w:rsidR="00356E67" w:rsidRPr="00AA0575" w:rsidTr="00C05449">
        <w:tc>
          <w:tcPr>
            <w:tcW w:w="1984" w:type="dxa"/>
            <w:vAlign w:val="center"/>
          </w:tcPr>
          <w:p w:rsidR="00356E67" w:rsidRPr="00AA0575" w:rsidRDefault="00356E67" w:rsidP="00C05449">
            <w:pPr>
              <w:jc w:val="left"/>
              <w:rPr>
                <w:bCs/>
                <w:i/>
                <w:sz w:val="20"/>
                <w:szCs w:val="20"/>
                <w:lang w:val="es-MX"/>
              </w:rPr>
            </w:pPr>
            <w:r w:rsidRPr="00AA0575">
              <w:rPr>
                <w:i/>
                <w:iCs/>
                <w:sz w:val="20"/>
                <w:szCs w:val="20"/>
                <w:lang w:val="es-MX"/>
              </w:rPr>
              <w:lastRenderedPageBreak/>
              <w:t>Número de</w:t>
            </w:r>
            <w:r w:rsidRPr="00AA0575">
              <w:rPr>
                <w:i/>
                <w:sz w:val="20"/>
                <w:szCs w:val="20"/>
                <w:lang w:val="es-MX"/>
              </w:rPr>
              <w:br/>
            </w:r>
            <w:r w:rsidRPr="00AA0575">
              <w:rPr>
                <w:i/>
                <w:iCs/>
                <w:sz w:val="20"/>
                <w:szCs w:val="20"/>
                <w:lang w:val="es-MX"/>
              </w:rPr>
              <w:t>profesores</w:t>
            </w:r>
          </w:p>
        </w:tc>
        <w:tc>
          <w:tcPr>
            <w:tcW w:w="3119" w:type="dxa"/>
            <w:vAlign w:val="center"/>
          </w:tcPr>
          <w:p w:rsidR="00356E67" w:rsidRPr="00AA0575" w:rsidRDefault="00356E67" w:rsidP="00C05449">
            <w:pPr>
              <w:jc w:val="left"/>
              <w:rPr>
                <w:sz w:val="20"/>
                <w:szCs w:val="20"/>
              </w:rPr>
            </w:pPr>
            <w:r w:rsidRPr="00AA0575">
              <w:rPr>
                <w:bCs/>
                <w:sz w:val="20"/>
                <w:szCs w:val="20"/>
                <w:lang w:val="es-MX"/>
              </w:rPr>
              <w:t>5 con grado de Maestría en Ciencias y con grado de Dr.</w:t>
            </w:r>
            <w:r w:rsidRPr="00AA0575">
              <w:rPr>
                <w:sz w:val="20"/>
                <w:szCs w:val="20"/>
                <w:lang w:val="es-MX"/>
              </w:rPr>
              <w:br/>
            </w:r>
            <w:r w:rsidRPr="00AA0575">
              <w:rPr>
                <w:bCs/>
                <w:sz w:val="20"/>
                <w:szCs w:val="20"/>
                <w:lang w:val="es-MX"/>
              </w:rPr>
              <w:t>6 Total</w:t>
            </w:r>
          </w:p>
        </w:tc>
        <w:tc>
          <w:tcPr>
            <w:tcW w:w="3056" w:type="dxa"/>
            <w:vAlign w:val="center"/>
          </w:tcPr>
          <w:p w:rsidR="00356E67" w:rsidRPr="00AA0575" w:rsidRDefault="00356E67" w:rsidP="00C05449">
            <w:pPr>
              <w:jc w:val="left"/>
              <w:rPr>
                <w:bCs/>
                <w:sz w:val="20"/>
                <w:szCs w:val="20"/>
                <w:lang w:val="es-MX"/>
              </w:rPr>
            </w:pPr>
            <w:r w:rsidRPr="00AA0575">
              <w:rPr>
                <w:bCs/>
                <w:sz w:val="20"/>
                <w:szCs w:val="20"/>
                <w:lang w:val="es-MX"/>
              </w:rPr>
              <w:t xml:space="preserve">5 con grado de Dr. y </w:t>
            </w:r>
            <w:r w:rsidRPr="00AA0575">
              <w:rPr>
                <w:sz w:val="20"/>
                <w:szCs w:val="20"/>
                <w:lang w:val="es-MX"/>
              </w:rPr>
              <w:br/>
            </w:r>
            <w:r w:rsidRPr="00AA0575">
              <w:rPr>
                <w:bCs/>
                <w:sz w:val="20"/>
                <w:szCs w:val="20"/>
                <w:lang w:val="es-MX"/>
              </w:rPr>
              <w:t>3 con grado de Maestría en Ciencias</w:t>
            </w:r>
          </w:p>
          <w:p w:rsidR="00356E67" w:rsidRPr="00AA0575" w:rsidRDefault="00356E67" w:rsidP="00C05449">
            <w:pPr>
              <w:jc w:val="left"/>
              <w:rPr>
                <w:bCs/>
                <w:sz w:val="20"/>
                <w:szCs w:val="20"/>
                <w:lang w:val="es-MX"/>
              </w:rPr>
            </w:pPr>
            <w:r w:rsidRPr="00AA0575">
              <w:rPr>
                <w:bCs/>
                <w:sz w:val="20"/>
                <w:szCs w:val="20"/>
                <w:lang w:val="es-MX"/>
              </w:rPr>
              <w:t>8 Total</w:t>
            </w:r>
          </w:p>
        </w:tc>
      </w:tr>
      <w:tr w:rsidR="00356E67" w:rsidRPr="00AA0575" w:rsidTr="00C05449">
        <w:tc>
          <w:tcPr>
            <w:tcW w:w="1984" w:type="dxa"/>
            <w:vAlign w:val="center"/>
          </w:tcPr>
          <w:p w:rsidR="00356E67" w:rsidRPr="00AA0575" w:rsidRDefault="00356E67" w:rsidP="00C05449">
            <w:pPr>
              <w:jc w:val="left"/>
              <w:rPr>
                <w:bCs/>
                <w:i/>
                <w:sz w:val="20"/>
                <w:szCs w:val="20"/>
                <w:lang w:val="es-MX"/>
              </w:rPr>
            </w:pPr>
            <w:r w:rsidRPr="00AA0575">
              <w:rPr>
                <w:i/>
                <w:iCs/>
                <w:sz w:val="20"/>
                <w:szCs w:val="20"/>
                <w:lang w:val="es-MX"/>
              </w:rPr>
              <w:t>Nivel de estudios</w:t>
            </w:r>
          </w:p>
        </w:tc>
        <w:tc>
          <w:tcPr>
            <w:tcW w:w="3119" w:type="dxa"/>
            <w:vAlign w:val="center"/>
          </w:tcPr>
          <w:p w:rsidR="00356E67" w:rsidRPr="00AA0575" w:rsidRDefault="00356E67" w:rsidP="00C05449">
            <w:pPr>
              <w:jc w:val="left"/>
              <w:rPr>
                <w:sz w:val="20"/>
                <w:szCs w:val="20"/>
                <w:lang w:val="es-MX"/>
              </w:rPr>
            </w:pPr>
            <w:r w:rsidRPr="00AA0575">
              <w:rPr>
                <w:bCs/>
                <w:sz w:val="20"/>
                <w:szCs w:val="20"/>
                <w:lang w:val="es-MX"/>
              </w:rPr>
              <w:t>17 % doctores</w:t>
            </w:r>
          </w:p>
        </w:tc>
        <w:tc>
          <w:tcPr>
            <w:tcW w:w="3056" w:type="dxa"/>
            <w:vAlign w:val="center"/>
          </w:tcPr>
          <w:p w:rsidR="00356E67" w:rsidRPr="00AA0575" w:rsidRDefault="00356E67" w:rsidP="00C05449">
            <w:pPr>
              <w:jc w:val="left"/>
              <w:rPr>
                <w:sz w:val="20"/>
                <w:szCs w:val="20"/>
                <w:lang w:val="es-MX"/>
              </w:rPr>
            </w:pPr>
            <w:r w:rsidRPr="00AA0575">
              <w:rPr>
                <w:bCs/>
                <w:sz w:val="20"/>
                <w:szCs w:val="20"/>
                <w:lang w:val="es-MX"/>
              </w:rPr>
              <w:t>62% doctores</w:t>
            </w:r>
          </w:p>
        </w:tc>
      </w:tr>
      <w:tr w:rsidR="00356E67" w:rsidRPr="00AA0575" w:rsidTr="00C05449">
        <w:tc>
          <w:tcPr>
            <w:tcW w:w="1984" w:type="dxa"/>
            <w:vAlign w:val="center"/>
          </w:tcPr>
          <w:p w:rsidR="00356E67" w:rsidRPr="00AA0575" w:rsidRDefault="00356E67" w:rsidP="00C05449">
            <w:pPr>
              <w:jc w:val="left"/>
              <w:rPr>
                <w:i/>
                <w:iCs/>
                <w:sz w:val="20"/>
                <w:szCs w:val="20"/>
                <w:lang w:val="es-MX"/>
              </w:rPr>
            </w:pPr>
            <w:r w:rsidRPr="00AA0575">
              <w:rPr>
                <w:i/>
                <w:iCs/>
                <w:sz w:val="20"/>
                <w:szCs w:val="20"/>
                <w:lang w:val="es-MX"/>
              </w:rPr>
              <w:t>Experiencia o reconocimiento de los profesores de tiempo completo</w:t>
            </w:r>
          </w:p>
        </w:tc>
        <w:tc>
          <w:tcPr>
            <w:tcW w:w="3119" w:type="dxa"/>
            <w:vAlign w:val="center"/>
          </w:tcPr>
          <w:p w:rsidR="00356E67" w:rsidRPr="00AA0575" w:rsidRDefault="00356E67" w:rsidP="00C05449">
            <w:pPr>
              <w:jc w:val="left"/>
              <w:rPr>
                <w:bCs/>
                <w:sz w:val="20"/>
                <w:szCs w:val="20"/>
                <w:lang w:val="es-MX"/>
              </w:rPr>
            </w:pPr>
            <w:r w:rsidRPr="00AA0575">
              <w:rPr>
                <w:sz w:val="20"/>
                <w:szCs w:val="20"/>
                <w:lang w:val="es-MX"/>
              </w:rPr>
              <w:t>50% con experiencia profesional en el campo</w:t>
            </w:r>
          </w:p>
        </w:tc>
        <w:tc>
          <w:tcPr>
            <w:tcW w:w="3056" w:type="dxa"/>
            <w:vAlign w:val="center"/>
          </w:tcPr>
          <w:p w:rsidR="00356E67" w:rsidRPr="00AA0575" w:rsidRDefault="00356E67" w:rsidP="00C05449">
            <w:pPr>
              <w:jc w:val="left"/>
              <w:rPr>
                <w:bCs/>
                <w:sz w:val="20"/>
                <w:szCs w:val="20"/>
                <w:lang w:val="es-MX"/>
              </w:rPr>
            </w:pPr>
            <w:r w:rsidRPr="00AA0575">
              <w:rPr>
                <w:sz w:val="20"/>
                <w:szCs w:val="20"/>
                <w:lang w:val="es-MX"/>
              </w:rPr>
              <w:t>50% SNI y al menos</w:t>
            </w:r>
            <w:r w:rsidRPr="00AA0575">
              <w:rPr>
                <w:sz w:val="20"/>
                <w:szCs w:val="20"/>
                <w:lang w:val="es-MX"/>
              </w:rPr>
              <w:br/>
              <w:t>30% nivel I y II</w:t>
            </w:r>
          </w:p>
        </w:tc>
      </w:tr>
      <w:tr w:rsidR="00356E67" w:rsidRPr="00AA0575" w:rsidTr="00C05449">
        <w:tc>
          <w:tcPr>
            <w:tcW w:w="1984" w:type="dxa"/>
            <w:vAlign w:val="center"/>
          </w:tcPr>
          <w:p w:rsidR="00356E67" w:rsidRPr="00AA0575" w:rsidRDefault="00356E67" w:rsidP="00C05449">
            <w:pPr>
              <w:jc w:val="left"/>
              <w:rPr>
                <w:i/>
                <w:iCs/>
                <w:sz w:val="20"/>
                <w:szCs w:val="20"/>
                <w:lang w:val="es-MX"/>
              </w:rPr>
            </w:pPr>
            <w:r w:rsidRPr="00AA0575">
              <w:rPr>
                <w:i/>
                <w:iCs/>
                <w:sz w:val="20"/>
                <w:szCs w:val="20"/>
                <w:lang w:val="es-MX"/>
              </w:rPr>
              <w:t>Tutorías por profesor</w:t>
            </w:r>
          </w:p>
        </w:tc>
        <w:tc>
          <w:tcPr>
            <w:tcW w:w="3119" w:type="dxa"/>
            <w:vAlign w:val="center"/>
          </w:tcPr>
          <w:p w:rsidR="00356E67" w:rsidRPr="00AA0575" w:rsidRDefault="00356E67" w:rsidP="00C05449">
            <w:pPr>
              <w:jc w:val="left"/>
              <w:rPr>
                <w:sz w:val="20"/>
                <w:szCs w:val="20"/>
                <w:lang w:val="es-MX"/>
              </w:rPr>
            </w:pPr>
            <w:r w:rsidRPr="00AA0575">
              <w:rPr>
                <w:bCs/>
                <w:sz w:val="20"/>
                <w:szCs w:val="20"/>
                <w:lang w:val="es-MX"/>
              </w:rPr>
              <w:t>5-10 alumnos</w:t>
            </w:r>
          </w:p>
        </w:tc>
        <w:tc>
          <w:tcPr>
            <w:tcW w:w="3056" w:type="dxa"/>
            <w:vAlign w:val="center"/>
          </w:tcPr>
          <w:p w:rsidR="00356E67" w:rsidRPr="00AA0575" w:rsidRDefault="00356E67" w:rsidP="00C05449">
            <w:pPr>
              <w:jc w:val="left"/>
              <w:rPr>
                <w:sz w:val="20"/>
                <w:szCs w:val="20"/>
                <w:lang w:val="es-MX"/>
              </w:rPr>
            </w:pPr>
            <w:r w:rsidRPr="00AA0575">
              <w:rPr>
                <w:bCs/>
                <w:sz w:val="20"/>
                <w:szCs w:val="20"/>
                <w:lang w:val="es-MX"/>
              </w:rPr>
              <w:t>4-6 alumnos</w:t>
            </w:r>
          </w:p>
        </w:tc>
      </w:tr>
      <w:tr w:rsidR="00356E67" w:rsidRPr="00AA0575" w:rsidTr="00C05449">
        <w:tc>
          <w:tcPr>
            <w:tcW w:w="1984" w:type="dxa"/>
            <w:vAlign w:val="center"/>
          </w:tcPr>
          <w:p w:rsidR="00356E67" w:rsidRPr="00AA0575" w:rsidRDefault="00356E67" w:rsidP="00C05449">
            <w:pPr>
              <w:jc w:val="left"/>
              <w:rPr>
                <w:i/>
                <w:iCs/>
                <w:sz w:val="20"/>
                <w:szCs w:val="20"/>
                <w:lang w:val="es-MX"/>
              </w:rPr>
            </w:pPr>
            <w:r w:rsidRPr="00AA0575">
              <w:rPr>
                <w:i/>
                <w:iCs/>
                <w:sz w:val="20"/>
                <w:szCs w:val="20"/>
                <w:lang w:val="es-MX"/>
              </w:rPr>
              <w:t>Dirección de tesis por profesor</w:t>
            </w:r>
          </w:p>
        </w:tc>
        <w:tc>
          <w:tcPr>
            <w:tcW w:w="3119" w:type="dxa"/>
            <w:vAlign w:val="center"/>
          </w:tcPr>
          <w:p w:rsidR="00356E67" w:rsidRPr="00AA0575" w:rsidRDefault="00356E67" w:rsidP="00C05449">
            <w:pPr>
              <w:jc w:val="left"/>
              <w:rPr>
                <w:bCs/>
                <w:sz w:val="20"/>
                <w:szCs w:val="20"/>
                <w:lang w:val="es-MX"/>
              </w:rPr>
            </w:pPr>
            <w:r w:rsidRPr="00AA0575">
              <w:rPr>
                <w:sz w:val="20"/>
                <w:szCs w:val="20"/>
                <w:lang w:val="es-MX"/>
              </w:rPr>
              <w:t xml:space="preserve">Hasta </w:t>
            </w:r>
            <w:r w:rsidRPr="00AA0575">
              <w:rPr>
                <w:bCs/>
                <w:sz w:val="20"/>
                <w:szCs w:val="20"/>
                <w:lang w:val="es-MX"/>
              </w:rPr>
              <w:t>6</w:t>
            </w:r>
            <w:r w:rsidRPr="00AA0575">
              <w:rPr>
                <w:sz w:val="20"/>
                <w:szCs w:val="20"/>
                <w:lang w:val="es-MX"/>
              </w:rPr>
              <w:t xml:space="preserve"> estudiantes simultáneamente</w:t>
            </w:r>
          </w:p>
        </w:tc>
        <w:tc>
          <w:tcPr>
            <w:tcW w:w="3056" w:type="dxa"/>
            <w:vAlign w:val="center"/>
          </w:tcPr>
          <w:p w:rsidR="00356E67" w:rsidRPr="00AA0575" w:rsidRDefault="00356E67" w:rsidP="00C05449">
            <w:pPr>
              <w:jc w:val="left"/>
              <w:rPr>
                <w:bCs/>
                <w:sz w:val="20"/>
                <w:szCs w:val="20"/>
                <w:lang w:val="es-MX"/>
              </w:rPr>
            </w:pPr>
            <w:r w:rsidRPr="00AA0575">
              <w:rPr>
                <w:bCs/>
                <w:sz w:val="20"/>
                <w:szCs w:val="20"/>
                <w:lang w:val="es-MX"/>
              </w:rPr>
              <w:t>4</w:t>
            </w:r>
          </w:p>
        </w:tc>
      </w:tr>
      <w:tr w:rsidR="00356E67" w:rsidRPr="00AA0575" w:rsidTr="00C05449">
        <w:tc>
          <w:tcPr>
            <w:tcW w:w="1984" w:type="dxa"/>
            <w:vAlign w:val="center"/>
          </w:tcPr>
          <w:p w:rsidR="00356E67" w:rsidRPr="00AA0575" w:rsidRDefault="00356E67" w:rsidP="00C05449">
            <w:pPr>
              <w:jc w:val="left"/>
              <w:rPr>
                <w:i/>
                <w:sz w:val="20"/>
                <w:szCs w:val="20"/>
                <w:lang w:val="es-MX"/>
              </w:rPr>
            </w:pPr>
            <w:r w:rsidRPr="00AA0575">
              <w:rPr>
                <w:i/>
                <w:iCs/>
                <w:sz w:val="20"/>
                <w:szCs w:val="20"/>
                <w:lang w:val="es-MX"/>
              </w:rPr>
              <w:t>Contribución  por profesor</w:t>
            </w:r>
          </w:p>
        </w:tc>
        <w:tc>
          <w:tcPr>
            <w:tcW w:w="3119" w:type="dxa"/>
            <w:vAlign w:val="center"/>
          </w:tcPr>
          <w:p w:rsidR="00356E67" w:rsidRPr="00AA0575" w:rsidRDefault="00356E67" w:rsidP="00C05449">
            <w:pPr>
              <w:jc w:val="left"/>
              <w:rPr>
                <w:sz w:val="20"/>
                <w:szCs w:val="20"/>
                <w:lang w:val="es-MX"/>
              </w:rPr>
            </w:pPr>
            <w:r w:rsidRPr="00AA0575">
              <w:rPr>
                <w:sz w:val="20"/>
                <w:szCs w:val="20"/>
                <w:lang w:val="es-MX"/>
              </w:rPr>
              <w:t>Un producto relevante por año</w:t>
            </w:r>
          </w:p>
        </w:tc>
        <w:tc>
          <w:tcPr>
            <w:tcW w:w="3056" w:type="dxa"/>
            <w:vAlign w:val="center"/>
          </w:tcPr>
          <w:p w:rsidR="00356E67" w:rsidRPr="00AA0575" w:rsidRDefault="00356E67" w:rsidP="00C05449">
            <w:pPr>
              <w:jc w:val="left"/>
              <w:rPr>
                <w:sz w:val="20"/>
                <w:szCs w:val="20"/>
                <w:lang w:val="es-MX"/>
              </w:rPr>
            </w:pPr>
            <w:r w:rsidRPr="00AA0575">
              <w:rPr>
                <w:sz w:val="20"/>
                <w:szCs w:val="20"/>
                <w:lang w:val="es-MX"/>
              </w:rPr>
              <w:t>De 1 a 2 productos por año</w:t>
            </w:r>
          </w:p>
        </w:tc>
      </w:tr>
    </w:tbl>
    <w:p w:rsidR="00356E67" w:rsidRPr="00EB5CF0" w:rsidRDefault="00356E67" w:rsidP="00E16642"/>
    <w:p w:rsidR="00356E67" w:rsidRPr="00EB5CF0" w:rsidRDefault="00356E67" w:rsidP="00E16642">
      <w:r w:rsidRPr="00EB5CF0">
        <w:t>Lo anterior significa que el IPN, empareja los sus criterios con los del CONACyT y eso le ha valido ser la institución de mayor número de programas de posgrado incluidos en el Padrón Nacional del Posgrados</w:t>
      </w:r>
      <w:r w:rsidRPr="00EB5CF0">
        <w:rPr>
          <w:rStyle w:val="Refdenotaalpie"/>
          <w:rFonts w:cs="Arial"/>
          <w:szCs w:val="24"/>
        </w:rPr>
        <w:footnoteReference w:id="16"/>
      </w:r>
      <w:r w:rsidRPr="00EB5CF0">
        <w:t xml:space="preserve"> </w:t>
      </w:r>
      <w:sdt>
        <w:sdtPr>
          <w:id w:val="4042744"/>
          <w:citation/>
        </w:sdtPr>
        <w:sdtEndPr/>
        <w:sdtContent>
          <w:r w:rsidR="00B20C48">
            <w:fldChar w:fldCharType="begin"/>
          </w:r>
          <w:r w:rsidR="00B20C48">
            <w:instrText xml:space="preserve"> CITATION IPNo4 \l 2058 </w:instrText>
          </w:r>
          <w:r w:rsidR="00B20C48">
            <w:fldChar w:fldCharType="separate"/>
          </w:r>
          <w:r w:rsidRPr="00EB5CF0">
            <w:rPr>
              <w:noProof/>
            </w:rPr>
            <w:t>(IPN, 2004, Cuaderno 4)</w:t>
          </w:r>
          <w:r w:rsidR="00B20C48">
            <w:rPr>
              <w:noProof/>
            </w:rPr>
            <w:fldChar w:fldCharType="end"/>
          </w:r>
        </w:sdtContent>
      </w:sdt>
      <w:r w:rsidRPr="00EB5CF0">
        <w:t xml:space="preserve">. En promedio cuenta con 265,000 estudiantes y 14,000 docentes e investigadores </w:t>
      </w:r>
      <w:sdt>
        <w:sdtPr>
          <w:id w:val="3159444"/>
          <w:citation/>
        </w:sdtPr>
        <w:sdtEndPr/>
        <w:sdtContent>
          <w:r w:rsidR="00B20C48">
            <w:fldChar w:fldCharType="begin"/>
          </w:r>
          <w:r w:rsidR="00B20C48">
            <w:instrText xml:space="preserve"> CITATION Her07 \l 2058 </w:instrText>
          </w:r>
          <w:r w:rsidR="00B20C48">
            <w:fldChar w:fldCharType="separate"/>
          </w:r>
          <w:r w:rsidRPr="00EB5CF0">
            <w:rPr>
              <w:noProof/>
            </w:rPr>
            <w:t>(Hernández Jaime, 2007)</w:t>
          </w:r>
          <w:r w:rsidR="00B20C48">
            <w:rPr>
              <w:noProof/>
            </w:rPr>
            <w:fldChar w:fldCharType="end"/>
          </w:r>
        </w:sdtContent>
      </w:sdt>
      <w:r w:rsidRPr="00EB5CF0">
        <w:t xml:space="preserve">. </w:t>
      </w:r>
    </w:p>
    <w:p w:rsidR="00356E67" w:rsidRPr="00EB5CF0" w:rsidRDefault="00356E67" w:rsidP="00E16642"/>
    <w:p w:rsidR="00356E67" w:rsidRPr="00EB5CF0" w:rsidRDefault="00356E67" w:rsidP="00E16642"/>
    <w:p w:rsidR="00356E67" w:rsidRPr="00EB5CF0" w:rsidRDefault="00356E67" w:rsidP="003E1A0D">
      <w:pPr>
        <w:pStyle w:val="Ttulo2"/>
      </w:pPr>
      <w:bookmarkStart w:id="22" w:name="_Toc255805925"/>
      <w:bookmarkStart w:id="23" w:name="_Toc308691486"/>
      <w:r w:rsidRPr="00EB5CF0">
        <w:t>Proceso de la Reforma Académica</w:t>
      </w:r>
      <w:bookmarkEnd w:id="22"/>
      <w:bookmarkEnd w:id="23"/>
    </w:p>
    <w:p w:rsidR="00356E67" w:rsidRPr="00EB5CF0" w:rsidRDefault="00356E67" w:rsidP="00E16642"/>
    <w:p w:rsidR="00356E67" w:rsidRPr="00EB5CF0" w:rsidRDefault="00356E67" w:rsidP="00E16642">
      <w:r w:rsidRPr="00EB5CF0">
        <w:t>A pesar de la participación significativa del IPN para México, de acuerdo con la auto-evaluación realizada en 2000</w:t>
      </w:r>
      <w:sdt>
        <w:sdtPr>
          <w:id w:val="17205476"/>
          <w:citation/>
        </w:sdtPr>
        <w:sdtEndPr/>
        <w:sdtContent>
          <w:r w:rsidR="0072146B" w:rsidRPr="00EB5CF0">
            <w:fldChar w:fldCharType="begin"/>
          </w:r>
          <w:r w:rsidRPr="00EB5CF0">
            <w:instrText xml:space="preserve"> CITATION IPN06 \l 2058  </w:instrText>
          </w:r>
          <w:r w:rsidR="0072146B" w:rsidRPr="00EB5CF0">
            <w:fldChar w:fldCharType="separate"/>
          </w:r>
          <w:r w:rsidRPr="00EB5CF0">
            <w:rPr>
              <w:noProof/>
            </w:rPr>
            <w:t xml:space="preserve"> (IPN, 2006b)</w:t>
          </w:r>
          <w:r w:rsidR="0072146B" w:rsidRPr="00EB5CF0">
            <w:fldChar w:fldCharType="end"/>
          </w:r>
        </w:sdtContent>
      </w:sdt>
      <w:r w:rsidRPr="00EB5CF0">
        <w:t xml:space="preserve"> sobresalieron las dificultades que enfrentaba el Instituto para la atención de la creciente demanda de estudios, se consideró que los planes de estudio eran en su gran mayoría, rígidos y orientados por un enfoque profundamente especializado, con casi nula integración horizontal </w:t>
      </w:r>
      <w:r w:rsidRPr="00EB5CF0">
        <w:lastRenderedPageBreak/>
        <w:t xml:space="preserve">y vertical de las diferentes Unidades Académicas lo cual significaba dispersión en el esfuerzo institucional y limitaba el aprovechamiento de las experiencias de investigación y vinculación; además la formación tradicional rechazaba la incorporación entornos tecnológicos y modalidades diversas de aprendizaje </w:t>
      </w:r>
      <w:sdt>
        <w:sdtPr>
          <w:id w:val="1549066"/>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(IPN, 2003, Cuaderno 1)</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Ante dicha situación se estableció la Reforma Académica que incluye el Modelo Educativo y el Modelo de Integración Social</w:t>
      </w:r>
      <w:sdt>
        <w:sdtPr>
          <w:id w:val="4467032"/>
          <w:citation/>
        </w:sdtPr>
        <w:sdtEndPr/>
        <w:sdtContent>
          <w:r w:rsidR="0072146B" w:rsidRPr="00EB5CF0">
            <w:fldChar w:fldCharType="begin"/>
          </w:r>
          <w:r w:rsidRPr="00EB5CF0">
            <w:instrText xml:space="preserve"> CITATION IPN06 \l 2058  </w:instrText>
          </w:r>
          <w:r w:rsidR="0072146B" w:rsidRPr="00EB5CF0">
            <w:fldChar w:fldCharType="separate"/>
          </w:r>
          <w:r w:rsidRPr="00EB5CF0">
            <w:rPr>
              <w:noProof/>
            </w:rPr>
            <w:t xml:space="preserve"> (IPN, 2006b)</w:t>
          </w:r>
          <w:r w:rsidR="0072146B" w:rsidRPr="00EB5CF0">
            <w:fldChar w:fldCharType="end"/>
          </w:r>
        </w:sdtContent>
      </w:sdt>
      <w:r w:rsidRPr="00EB5CF0">
        <w:t>. Lo anterior coincide con las indicaciones del Programa Especial de Ciencia y Tecnología del Gobierno Federal atendiendo a la triple responsabilidad de las instituciones de educación superior, a saber, la formación de profesionales de alto nivel, el desarrollo de la investigación científica y tecnológica y la vinculación de las mismas instituciones con los sectores productivos y de servicios</w:t>
      </w:r>
      <w:sdt>
        <w:sdtPr>
          <w:id w:val="1017298"/>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 xml:space="preserve"> (IPN, 2004, Cuaderno 4)</w:t>
          </w:r>
          <w:r w:rsidR="0072146B" w:rsidRPr="00EB5CF0">
            <w:fldChar w:fldCharType="end"/>
          </w:r>
        </w:sdtContent>
      </w:sdt>
      <w:r w:rsidRPr="00EB5CF0">
        <w:t>.</w:t>
      </w:r>
    </w:p>
    <w:p w:rsidR="00356E67" w:rsidRPr="00EB5CF0" w:rsidRDefault="00356E67" w:rsidP="00E16642"/>
    <w:p w:rsidR="00356E67" w:rsidRPr="00EB5CF0" w:rsidRDefault="00356E67" w:rsidP="00E16642"/>
    <w:p w:rsidR="00356E67" w:rsidRPr="00EB5CF0" w:rsidRDefault="00356E67" w:rsidP="003E1A0D">
      <w:pPr>
        <w:pStyle w:val="Ttulo2"/>
      </w:pPr>
      <w:bookmarkStart w:id="24" w:name="_Toc255805926"/>
      <w:bookmarkStart w:id="25" w:name="_Toc308691487"/>
      <w:r w:rsidRPr="00EB5CF0">
        <w:t>Modelo Educativo</w:t>
      </w:r>
      <w:bookmarkEnd w:id="24"/>
      <w:bookmarkEnd w:id="25"/>
    </w:p>
    <w:p w:rsidR="00356E67" w:rsidRPr="00EB5CF0" w:rsidRDefault="00356E67" w:rsidP="00E16642"/>
    <w:p w:rsidR="00356E67" w:rsidRPr="00EB5CF0" w:rsidRDefault="00356E67" w:rsidP="00E16642">
      <w:r w:rsidRPr="00EB5CF0">
        <w:t>El Modelo Educativo del IPN creado a partir de la Reforma Académica, fue elaborado por los Directores de las Unidades Académicas en conjunto con los Jefes de las Secciones de Posgrado e Investigación, a su vez, participaron algunos Subdirectores de las mismas Unidades Académicas, el Consejo General Consultivo y miembros de la comunidad; se realizó en el 2002 durante el periodo junio-septiembre. Esto derivado del Programa de Desarrollo Institucional 2001-2006</w:t>
      </w:r>
      <w:sdt>
        <w:sdtPr>
          <w:id w:val="798918"/>
          <w:citation/>
        </w:sdtPr>
        <w:sdtEndPr/>
        <w:sdtContent>
          <w:r w:rsidR="0072146B" w:rsidRPr="00EB5CF0">
            <w:fldChar w:fldCharType="begin"/>
          </w:r>
          <w:r w:rsidRPr="00EB5CF0">
            <w:instrText xml:space="preserve"> CITATION IPN03 \l 2058  </w:instrText>
          </w:r>
          <w:r w:rsidR="0072146B" w:rsidRPr="00EB5CF0">
            <w:fldChar w:fldCharType="separate"/>
          </w:r>
          <w:r w:rsidRPr="00EB5CF0">
            <w:rPr>
              <w:noProof/>
            </w:rPr>
            <w:t xml:space="preserve"> (IPN, 2003)</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El Modelo Educativo del IPN tiene influencia o atiende a la “Declaración Mundial sobre la Educación Superior en el siglo XXI, Visión y Acción de 1998” de la UNESCO</w:t>
      </w:r>
      <w:sdt>
        <w:sdtPr>
          <w:id w:val="1195254"/>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 xml:space="preserve"> (IPN, 2003, Cuaderno 1)</w:t>
          </w:r>
          <w:r w:rsidR="0072146B" w:rsidRPr="00EB5CF0">
            <w:fldChar w:fldCharType="end"/>
          </w:r>
        </w:sdtContent>
      </w:sdt>
      <w:r w:rsidRPr="00EB5CF0">
        <w:t xml:space="preserve">,  en la que se hace notar el incremento en la demanda y la participación de la educación superior en el desarrollo sociocultural y económico de las naciones. El IPN desde las primeras expresiones de su misión y visión ya incluía varios de los puntos de dicha declaratoria, como igualdad de </w:t>
      </w:r>
      <w:r w:rsidRPr="00EB5CF0">
        <w:lastRenderedPageBreak/>
        <w:t>condiciones de acceso a los estudios, formación y capacitación de calidad, mejora continua en el ámbito de la enseñanza, la investigación y los servicios, así también su función de servicio a la sociedad; que en el nuevo Modelo Educativo se reafirman. Además de garantizar el principio de solidaridad, compromiso social y apoyo a la solución de los problemas tecnológicos del país ello derivado del Programa de Desarrollo Institucional 2001-2006</w:t>
      </w:r>
      <w:sdt>
        <w:sdtPr>
          <w:id w:val="5430866"/>
          <w:citation/>
        </w:sdtPr>
        <w:sdtEndPr/>
        <w:sdtContent>
          <w:r w:rsidR="0072146B" w:rsidRPr="00EB5CF0">
            <w:fldChar w:fldCharType="begin"/>
          </w:r>
          <w:r w:rsidRPr="00EB5CF0">
            <w:instrText xml:space="preserve"> CITATION IPN03 \l 2058  </w:instrText>
          </w:r>
          <w:r w:rsidR="0072146B" w:rsidRPr="00EB5CF0">
            <w:fldChar w:fldCharType="separate"/>
          </w:r>
          <w:r w:rsidRPr="00EB5CF0">
            <w:rPr>
              <w:noProof/>
            </w:rPr>
            <w:t xml:space="preserve"> (IPN, 2003)</w:t>
          </w:r>
          <w:r w:rsidR="0072146B" w:rsidRPr="00EB5CF0">
            <w:fldChar w:fldCharType="end"/>
          </w:r>
        </w:sdtContent>
      </w:sdt>
      <w:r w:rsidRPr="00EB5CF0">
        <w:t>. Esta reforma, también a partir de la Declaración mencionada, integra puntos como: la formación basada en las competencias, el análisis de la pertinencia de los planes de estudios, la ampliación de las posibilidades de empleo de los diplomados, y el establecimiento de acuerdos de cooperación eficaces y la igualdad de acceso a los beneficios que reporta la cooperación internacional</w:t>
      </w:r>
      <w:sdt>
        <w:sdtPr>
          <w:id w:val="1195257"/>
          <w:citation/>
        </w:sdtPr>
        <w:sdtEndPr/>
        <w:sdtContent>
          <w:r w:rsidR="0072146B" w:rsidRPr="00EB5CF0">
            <w:fldChar w:fldCharType="begin"/>
          </w:r>
          <w:r w:rsidRPr="00EB5CF0">
            <w:instrText xml:space="preserve"> CITATION UNE98 \l 2058  </w:instrText>
          </w:r>
          <w:r w:rsidR="0072146B" w:rsidRPr="00EB5CF0">
            <w:fldChar w:fldCharType="separate"/>
          </w:r>
          <w:r w:rsidRPr="00EB5CF0">
            <w:rPr>
              <w:noProof/>
            </w:rPr>
            <w:t xml:space="preserve"> (UNESCO, 1998)</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Por lo anterior, el Modelo Educativo postula y promueve el aprendizaje constructivo por medio de competencias</w:t>
      </w:r>
      <w:sdt>
        <w:sdtPr>
          <w:id w:val="798929"/>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 xml:space="preserve"> (IPN, 2003, Cuaderno 1)</w:t>
          </w:r>
          <w:r w:rsidR="0072146B" w:rsidRPr="00EB5CF0">
            <w:fldChar w:fldCharType="end"/>
          </w:r>
        </w:sdtContent>
      </w:sdt>
      <w:r w:rsidRPr="00EB5CF0">
        <w:t xml:space="preserve">, que tiene como objetivo maximizar las oportunidades de los egresados en la inserción al ámbito laboral, estableciendo una correlación mayor entre los contenidos y las necesidades sociales </w:t>
      </w:r>
      <w:sdt>
        <w:sdtPr>
          <w:id w:val="798924"/>
          <w:citation/>
        </w:sdtPr>
        <w:sdtEndPr/>
        <w:sdtContent>
          <w:r w:rsidR="0072146B" w:rsidRPr="00EB5CF0">
            <w:fldChar w:fldCharType="begin"/>
          </w:r>
          <w:r w:rsidRPr="00EB5CF0">
            <w:instrText xml:space="preserve"> CITATION IPN03 \l 2058   \m IPNo4</w:instrText>
          </w:r>
          <w:r w:rsidR="0072146B" w:rsidRPr="00EB5CF0">
            <w:fldChar w:fldCharType="separate"/>
          </w:r>
          <w:r w:rsidRPr="00EB5CF0">
            <w:rPr>
              <w:noProof/>
            </w:rPr>
            <w:t>(IPN, 2003; IPN, 2004, Cuaderno 4)</w:t>
          </w:r>
          <w:r w:rsidR="0072146B" w:rsidRPr="00EB5CF0">
            <w:fldChar w:fldCharType="end"/>
          </w:r>
        </w:sdtContent>
      </w:sdt>
      <w:r w:rsidRPr="00EB5CF0">
        <w:t>. Pero no restringe su función a la formación o docencia sino que la amplía a la investigación posibilitada a través de la movilidad estudiantil a nivel nacional o internacional y el uso de tecnologías y sistemas de comunicación como parte importante del proceso del aprendizaje</w:t>
      </w:r>
      <w:sdt>
        <w:sdtPr>
          <w:id w:val="798922"/>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 xml:space="preserve"> (IPN, 2003, Cuaderno 1)</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 xml:space="preserve">En otras palabras se retoma el Artículo 1 el Punto c de la Declaratoria de la UNESCO, en donde se expresa que la investigación científica y tecnológica en ciencias sociales, humanidades y artes creativas será la promotora, generadora y difusora del conocimiento, y el Artículo 5 refiriéndose exclusivamente al nivel de posgrado, que indica que debe fomentarse la innovación, interdisciplinariedad y </w:t>
      </w:r>
      <w:proofErr w:type="spellStart"/>
      <w:r w:rsidRPr="00EB5CF0">
        <w:t>transdisciplinariedad</w:t>
      </w:r>
      <w:proofErr w:type="spellEnd"/>
      <w:sdt>
        <w:sdtPr>
          <w:id w:val="4042750"/>
          <w:citation/>
        </w:sdtPr>
        <w:sdtEndPr/>
        <w:sdtContent>
          <w:r w:rsidR="0072146B" w:rsidRPr="00EB5CF0">
            <w:fldChar w:fldCharType="begin"/>
          </w:r>
          <w:r w:rsidRPr="00EB5CF0">
            <w:instrText xml:space="preserve"> CITATION UNE98 \l 2058 </w:instrText>
          </w:r>
          <w:r w:rsidR="0072146B" w:rsidRPr="00EB5CF0">
            <w:fldChar w:fldCharType="separate"/>
          </w:r>
          <w:r w:rsidRPr="00EB5CF0">
            <w:rPr>
              <w:noProof/>
            </w:rPr>
            <w:t xml:space="preserve"> (UNESCO, 1998)</w:t>
          </w:r>
          <w:r w:rsidR="0072146B" w:rsidRPr="00EB5CF0">
            <w:fldChar w:fldCharType="end"/>
          </w:r>
        </w:sdtContent>
      </w:sdt>
      <w:r w:rsidRPr="00EB5CF0">
        <w:t>. Todo lo anterior manteniendo el equilibrio entre la investigación fundamental y la orientada a objetivos específicos. En resumen, otorga peso especial al posgrado y a la investigación.</w:t>
      </w:r>
    </w:p>
    <w:p w:rsidR="00356E67" w:rsidRPr="00EB5CF0" w:rsidRDefault="00356E67" w:rsidP="00E16642"/>
    <w:p w:rsidR="00356E67" w:rsidRPr="00EB5CF0" w:rsidRDefault="00356E67" w:rsidP="00E16642">
      <w:r w:rsidRPr="00EB5CF0">
        <w:lastRenderedPageBreak/>
        <w:t>Estas modificaciones implicaron la integración de las diferentes Unidades Académicas en una red que permite el trabajo horizontal, es decir, se articulan los niveles de formación, se vincula la investigación la docencia y la extensión y se optimiza el uso de recursos institucionales. En este modelo se reconoce que la especialización del nivel licenciatura ya no es lo más adecuado ante las circunstancias sociales, productivas y de avance del conocimiento, así pues, se le da prioridad al nivel posgrado, se fortalece a través del tránsito de niveles, de modalidades y de instituciones tanto nacional como internacional</w:t>
      </w:r>
      <w:sdt>
        <w:sdtPr>
          <w:id w:val="16648815"/>
          <w:citation/>
        </w:sdtPr>
        <w:sdtEndPr/>
        <w:sdtContent>
          <w:r w:rsidR="0072146B" w:rsidRPr="00EB5CF0">
            <w:fldChar w:fldCharType="begin"/>
          </w:r>
          <w:r w:rsidRPr="00EB5CF0">
            <w:instrText xml:space="preserve"> CITATION IPN03 \l 2058  </w:instrText>
          </w:r>
          <w:r w:rsidR="0072146B" w:rsidRPr="00EB5CF0">
            <w:fldChar w:fldCharType="separate"/>
          </w:r>
          <w:r w:rsidRPr="00EB5CF0">
            <w:rPr>
              <w:noProof/>
            </w:rPr>
            <w:t xml:space="preserve"> (IPN, 2003)</w:t>
          </w:r>
          <w:r w:rsidR="0072146B" w:rsidRPr="00EB5CF0">
            <w:fldChar w:fldCharType="end"/>
          </w:r>
        </w:sdtContent>
      </w:sdt>
      <w:r w:rsidRPr="00EB5CF0">
        <w:t xml:space="preserve">. Se da prioridad también a la innovación, a la capacidad creativa y al uso intensivo de tecnologías de información y comunicación </w:t>
      </w:r>
      <w:sdt>
        <w:sdtPr>
          <w:id w:val="776766"/>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(IPN, 2004, Cuaderno 4)</w:t>
          </w:r>
          <w:r w:rsidR="0072146B" w:rsidRPr="00EB5CF0">
            <w:fldChar w:fldCharType="end"/>
          </w:r>
        </w:sdtContent>
      </w:sdt>
      <w:r w:rsidRPr="00EB5CF0">
        <w:t xml:space="preserve"> y aunque el enfoque de la investigación en el posgrado, seguirá siendo tanto en áreas científicas como en tecnológicas</w:t>
      </w:r>
      <w:sdt>
        <w:sdtPr>
          <w:id w:val="776768"/>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 xml:space="preserve"> (IPN, 2003, Cuaderno 1)</w:t>
          </w:r>
          <w:r w:rsidR="0072146B" w:rsidRPr="00EB5CF0">
            <w:fldChar w:fldCharType="end"/>
          </w:r>
        </w:sdtContent>
      </w:sdt>
      <w:r w:rsidRPr="00EB5CF0">
        <w:t>.</w:t>
      </w:r>
    </w:p>
    <w:p w:rsidR="00356E67" w:rsidRDefault="00356E67" w:rsidP="00E16642"/>
    <w:p w:rsidR="00C05449" w:rsidRPr="00EB5CF0" w:rsidRDefault="00C05449" w:rsidP="00E16642"/>
    <w:p w:rsidR="00356E67" w:rsidRPr="00E268C6" w:rsidRDefault="00356E67" w:rsidP="00E16642">
      <w:pPr>
        <w:rPr>
          <w:b/>
        </w:rPr>
      </w:pPr>
      <w:bookmarkStart w:id="26" w:name="_Toc255805927"/>
      <w:r w:rsidRPr="00E268C6">
        <w:rPr>
          <w:b/>
        </w:rPr>
        <w:t>Posgrado</w:t>
      </w:r>
      <w:bookmarkEnd w:id="26"/>
    </w:p>
    <w:p w:rsidR="00356E67" w:rsidRPr="00EB5CF0" w:rsidRDefault="00356E67" w:rsidP="00E16642"/>
    <w:p w:rsidR="00356E67" w:rsidRPr="00EB5CF0" w:rsidRDefault="00356E67" w:rsidP="00E16642">
      <w:r w:rsidRPr="00EB5CF0">
        <w:t xml:space="preserve">El posgrado es una formación “de base o de origen” en diferentes ámbitos del conocimiento </w:t>
      </w:r>
      <w:sdt>
        <w:sdtPr>
          <w:id w:val="3159435"/>
          <w:citation/>
        </w:sdtPr>
        <w:sdtEndPr/>
        <w:sdtContent>
          <w:r w:rsidR="0072146B" w:rsidRPr="00EB5CF0">
            <w:fldChar w:fldCharType="begin"/>
          </w:r>
          <w:r w:rsidRPr="00EB5CF0">
            <w:instrText xml:space="preserve"> CITATION Duc05 \l 2058 </w:instrText>
          </w:r>
          <w:r w:rsidR="0072146B" w:rsidRPr="00EB5CF0">
            <w:fldChar w:fldCharType="separate"/>
          </w:r>
          <w:r w:rsidRPr="00EB5CF0">
            <w:rPr>
              <w:noProof/>
            </w:rPr>
            <w:t>(Ducoing Watty, 2005)</w:t>
          </w:r>
          <w:r w:rsidR="0072146B" w:rsidRPr="00EB5CF0">
            <w:fldChar w:fldCharType="end"/>
          </w:r>
        </w:sdtContent>
      </w:sdt>
      <w:r w:rsidRPr="00EB5CF0">
        <w:t xml:space="preserve">, su función es la formación de científicos, especialistas y docentes de alto nivel </w:t>
      </w:r>
      <w:sdt>
        <w:sdtPr>
          <w:id w:val="3159430"/>
          <w:citation/>
        </w:sdtPr>
        <w:sdtEndPr/>
        <w:sdtContent>
          <w:r w:rsidR="0072146B" w:rsidRPr="00EB5CF0">
            <w:fldChar w:fldCharType="begin"/>
          </w:r>
          <w:r w:rsidRPr="00EB5CF0">
            <w:instrText xml:space="preserve"> CITATION Alc95 \l 2058 </w:instrText>
          </w:r>
          <w:r w:rsidR="0072146B" w:rsidRPr="00EB5CF0">
            <w:fldChar w:fldCharType="separate"/>
          </w:r>
          <w:r w:rsidRPr="00EB5CF0">
            <w:rPr>
              <w:noProof/>
            </w:rPr>
            <w:t>(Alcántara Santuario, 1995)</w:t>
          </w:r>
          <w:r w:rsidR="0072146B" w:rsidRPr="00EB5CF0">
            <w:fldChar w:fldCharType="end"/>
          </w:r>
        </w:sdtContent>
      </w:sdt>
      <w:r w:rsidRPr="00EB5CF0">
        <w:t xml:space="preserve">. Dentro del nuevo Modelo Educativo se tienen los mismos niveles (especialización, maestría y doctorado) que en su estructura anterior, pero caracterizados de la siguiente manera </w:t>
      </w:r>
      <w:sdt>
        <w:sdtPr>
          <w:id w:val="16648806"/>
          <w:citation/>
        </w:sdtPr>
        <w:sdtEndPr/>
        <w:sdtContent>
          <w:r w:rsidR="0072146B" w:rsidRPr="00EB5CF0">
            <w:fldChar w:fldCharType="begin"/>
          </w:r>
          <w:r w:rsidRPr="00EB5CF0">
            <w:instrText xml:space="preserve"> CITATION IPN03 \p 31,32 \l 2058  </w:instrText>
          </w:r>
          <w:r w:rsidR="0072146B" w:rsidRPr="00EB5CF0">
            <w:fldChar w:fldCharType="separate"/>
          </w:r>
          <w:r w:rsidRPr="00EB5CF0">
            <w:rPr>
              <w:noProof/>
            </w:rPr>
            <w:t>(IPN, 2003, págs. 31,32)</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rPr>
          <w:bCs/>
        </w:rPr>
        <w:t xml:space="preserve">La </w:t>
      </w:r>
      <w:r w:rsidRPr="00EB5CF0">
        <w:rPr>
          <w:bCs/>
          <w:i/>
        </w:rPr>
        <w:t>especialización</w:t>
      </w:r>
      <w:r w:rsidRPr="00EB5CF0">
        <w:rPr>
          <w:bCs/>
        </w:rPr>
        <w:t xml:space="preserve"> </w:t>
      </w:r>
      <w:r w:rsidRPr="00EB5CF0">
        <w:t>estará enfocada a proporcionar conocimientos profundos en campos determinados del conocimiento y en su aplicación en áreas y casos específicos a fin de que el egresado resuelva problemas que requieran un mayor nivel de conocimiento o habilidad que los problemas generales para los que está formado un egresado de la licenciatura. Todo programa de especialización tendrá al menos cuarenta y cinco créditos y una duración máxima de un año, con excepción de aquellos para los que exista una normatividad nacional distinta (</w:t>
      </w:r>
      <w:r w:rsidRPr="00EB5CF0">
        <w:rPr>
          <w:i/>
          <w:iCs/>
        </w:rPr>
        <w:t xml:space="preserve">i.e. </w:t>
      </w:r>
      <w:r w:rsidRPr="00EB5CF0">
        <w:t xml:space="preserve">en el área de la salud). Los planes de estudio de este subnivel comprenderán </w:t>
      </w:r>
      <w:r w:rsidRPr="00EB5CF0">
        <w:lastRenderedPageBreak/>
        <w:t xml:space="preserve">cursos con clases teóricas, teórico-prácticas y prácticas, no lleva como requisito una tesis y, dependiendo del programa, eventualmente se considerará algún tipo de trabajo </w:t>
      </w:r>
      <w:proofErr w:type="spellStart"/>
      <w:r w:rsidRPr="00EB5CF0">
        <w:t>recepcional</w:t>
      </w:r>
      <w:proofErr w:type="spellEnd"/>
      <w:r w:rsidRPr="00EB5CF0">
        <w:t>.</w:t>
      </w:r>
    </w:p>
    <w:p w:rsidR="00356E67" w:rsidRPr="00EB5CF0" w:rsidRDefault="00356E67" w:rsidP="00E16642">
      <w:pPr>
        <w:rPr>
          <w:b/>
          <w:bCs/>
        </w:rPr>
      </w:pPr>
    </w:p>
    <w:p w:rsidR="00356E67" w:rsidRPr="00EB5CF0" w:rsidRDefault="00356E67" w:rsidP="00E16642">
      <w:r w:rsidRPr="00EB5CF0">
        <w:rPr>
          <w:bCs/>
        </w:rPr>
        <w:t>La</w:t>
      </w:r>
      <w:r w:rsidRPr="00EB5CF0">
        <w:rPr>
          <w:b/>
          <w:bCs/>
        </w:rPr>
        <w:t xml:space="preserve"> </w:t>
      </w:r>
      <w:r w:rsidRPr="00EB5CF0">
        <w:rPr>
          <w:bCs/>
          <w:i/>
        </w:rPr>
        <w:t>maestría</w:t>
      </w:r>
      <w:r w:rsidRPr="00EB5CF0">
        <w:rPr>
          <w:b/>
          <w:bCs/>
        </w:rPr>
        <w:t xml:space="preserve"> </w:t>
      </w:r>
      <w:r w:rsidRPr="00EB5CF0">
        <w:t xml:space="preserve">tiene por objeto la formación científica y tecnológica que habilite al estudiante para conocer con amplitud y profundidad el conocimiento existente en el área de formación y aplicarlos con altos niveles de especialización, así como realizar investigación bajo la dirección de un tutor y, de ser necesario, un Comité Tutorial. Las maestrías estarán orientadas a formar profesores investigadores, científicos, tecnólogos y profesionistas, por lo que podrán ser de dos tipos: 1) profesionalizante y 2) en ciencias. Los programas de maestría tendrán un máximo de 75 créditos, dependiendo la naturaleza de la investigación que realicen, podrán solicitar reportes, diseños, análisis de casos, entre otras modalidades </w:t>
      </w:r>
      <w:proofErr w:type="spellStart"/>
      <w:r w:rsidRPr="00EB5CF0">
        <w:t>recepcionales</w:t>
      </w:r>
      <w:proofErr w:type="spellEnd"/>
      <w:r w:rsidRPr="00EB5CF0">
        <w:t xml:space="preserve"> (para las maestrías profesionalizantes), y la tesis será una opción para aquellas áreas o campos de la formación que requieran la formalización estricta de estos resultados como es el caso de las maestrías en ciencias.</w:t>
      </w:r>
    </w:p>
    <w:p w:rsidR="00356E67" w:rsidRPr="00EB5CF0" w:rsidRDefault="00356E67" w:rsidP="00E16642">
      <w:pPr>
        <w:rPr>
          <w:b/>
          <w:bCs/>
        </w:rPr>
      </w:pPr>
    </w:p>
    <w:p w:rsidR="00356E67" w:rsidRPr="00EB5CF0" w:rsidRDefault="00356E67" w:rsidP="00E16642">
      <w:r w:rsidRPr="00EB5CF0">
        <w:rPr>
          <w:bCs/>
        </w:rPr>
        <w:t xml:space="preserve">El </w:t>
      </w:r>
      <w:r w:rsidRPr="00EB5CF0">
        <w:rPr>
          <w:bCs/>
          <w:i/>
        </w:rPr>
        <w:t>doctorado</w:t>
      </w:r>
      <w:r w:rsidRPr="00EB5CF0">
        <w:rPr>
          <w:b/>
          <w:bCs/>
        </w:rPr>
        <w:t xml:space="preserve"> </w:t>
      </w:r>
      <w:r w:rsidRPr="00EB5CF0">
        <w:t xml:space="preserve">tiene como finalidad apoyar la formación y actualización de recursos humanos con capacidad para desarrollar y dirigir, de forma autónoma investigación científica y tecnológica. Los estudios en este subnivel capacitan para desarrollar investigación original y de frontera y para realizar aplicaciones novedosas de esta investigación, contribuyendo con el avance de la frontera del conocimiento. Los doctorados del Instituto podrán ser doctorados en ingeniería enfocados al área tecnológica y de aplicación, o doctorados en ciencias enfocados a la investigación científica. En cada programa se especificará el total de créditos a cubrir. En el doctorado, el reporte del avance realizado al conocimiento existente, así como la aplicación original que se realice de éste, requerirán, invariablemente, de la sustentación de una tesis doctoral. </w:t>
      </w:r>
    </w:p>
    <w:p w:rsidR="00356E67" w:rsidRPr="00EB5CF0" w:rsidRDefault="00356E67" w:rsidP="00E16642"/>
    <w:p w:rsidR="00356E67" w:rsidRPr="00EB5CF0" w:rsidRDefault="00356E67" w:rsidP="00E16642">
      <w:r w:rsidRPr="00EB5CF0">
        <w:t xml:space="preserve">Además permanecen las categorías de posgrados profesionales y posgrados en ciencia que se expusieron líneas arriba. </w:t>
      </w:r>
    </w:p>
    <w:p w:rsidR="00356E67" w:rsidRPr="00EB5CF0" w:rsidRDefault="00356E67" w:rsidP="00E16642"/>
    <w:p w:rsidR="00356E67" w:rsidRPr="00E268C6" w:rsidRDefault="00356E67" w:rsidP="00E16642">
      <w:pPr>
        <w:rPr>
          <w:b/>
        </w:rPr>
      </w:pPr>
      <w:bookmarkStart w:id="27" w:name="_Toc255805928"/>
      <w:r w:rsidRPr="00E268C6">
        <w:rPr>
          <w:b/>
        </w:rPr>
        <w:t>Investigación</w:t>
      </w:r>
      <w:bookmarkEnd w:id="27"/>
    </w:p>
    <w:p w:rsidR="00356E67" w:rsidRPr="00EB5CF0" w:rsidRDefault="00356E67" w:rsidP="00E16642"/>
    <w:p w:rsidR="00356E67" w:rsidRPr="00EB5CF0" w:rsidRDefault="00356E67" w:rsidP="00E16642">
      <w:r w:rsidRPr="00EB5CF0">
        <w:t>La investigación está naturalmente ligada al nivel superior, sobre todo al de posgrado, en el IPN se ha tomado en cuenta dicha relación considerándola como parte relevante de las políticas de desarrollo académico institucionales del nuevo Modelo Educativo.</w:t>
      </w:r>
    </w:p>
    <w:p w:rsidR="00356E67" w:rsidRPr="00EB5CF0" w:rsidRDefault="00356E67" w:rsidP="00E16642"/>
    <w:p w:rsidR="00356E67" w:rsidRPr="00EB5CF0" w:rsidRDefault="00356E67" w:rsidP="00E16642">
      <w:r w:rsidRPr="00EB5CF0">
        <w:t xml:space="preserve">Anteriormente, quizá por la vocación inicial del IPN, es decir, por motivos que inspiraron su creación en los 30’s, una visión de carácter social que era parte del desarrollo nacional, la investigación se había orientado a la aplicación y a la transferencia de tecnología, siendo esto una respuesta a la tendencia nacional financiada desde finales de los 80’s o a las capacidades e intereses de algunos investigadores, que a políticas institucionales. Bunge </w:t>
      </w:r>
      <w:sdt>
        <w:sdtPr>
          <w:id w:val="3540459"/>
          <w:citation/>
        </w:sdtPr>
        <w:sdtEndPr/>
        <w:sdtContent>
          <w:r w:rsidR="0072146B" w:rsidRPr="00EB5CF0">
            <w:fldChar w:fldCharType="begin"/>
          </w:r>
          <w:r w:rsidRPr="00EB5CF0">
            <w:instrText xml:space="preserve"> CITATION Bun00 \n  \t  \l 2058  </w:instrText>
          </w:r>
          <w:r w:rsidR="0072146B" w:rsidRPr="00EB5CF0">
            <w:fldChar w:fldCharType="separate"/>
          </w:r>
          <w:r w:rsidRPr="00EB5CF0">
            <w:rPr>
              <w:noProof/>
            </w:rPr>
            <w:t>(2000)</w:t>
          </w:r>
          <w:r w:rsidR="0072146B" w:rsidRPr="00EB5CF0">
            <w:fldChar w:fldCharType="end"/>
          </w:r>
        </w:sdtContent>
      </w:sdt>
      <w:r w:rsidRPr="00EB5CF0">
        <w:t xml:space="preserve"> explica este estilo del desarrollo científico como dirigismo. Al mismo tiempo existía el problema de que </w:t>
      </w:r>
      <w:r w:rsidR="00AB32CA">
        <w:t>solo</w:t>
      </w:r>
      <w:r w:rsidRPr="00EB5CF0">
        <w:t xml:space="preserve"> el 18% de la planta académica del Instituto realizaba actividades de investigación</w:t>
      </w:r>
      <w:r w:rsidRPr="00EB5CF0">
        <w:rPr>
          <w:rStyle w:val="Refdenotaalpie"/>
          <w:rFonts w:cs="Arial"/>
          <w:szCs w:val="24"/>
        </w:rPr>
        <w:footnoteReference w:id="17"/>
      </w:r>
      <w:r w:rsidRPr="00EB5CF0">
        <w:t xml:space="preserve"> </w:t>
      </w:r>
      <w:sdt>
        <w:sdtPr>
          <w:id w:val="776778"/>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(IPN, 2004, Cuaderno 4)</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Conjuntamente las principales fuentes de financiamiento para la investigación eran, por un lado, el presupuesto interno el cual venía decreciendo y, por otro, las aportaciones del CONACyT con una tendencia moderadamente creciente pero desacelerada en comparación de años anteriores. Otro problema era la falta de un control riguroso de la aplicación de dichos recursos entre las diferentes Unidades Académicas o los Centros de Investigación, aunado a la baja explotación o uso por parte de los estudiantes o los mismos académicos por la deficiencia general en el manejo de la tecnología </w:t>
      </w:r>
      <w:sdt>
        <w:sdtPr>
          <w:id w:val="776784"/>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(IPN, 2004, Cuaderno 4)</w:t>
          </w:r>
          <w:r w:rsidR="0072146B" w:rsidRPr="00EB5CF0">
            <w:fldChar w:fldCharType="end"/>
          </w:r>
        </w:sdtContent>
      </w:sdt>
      <w:r w:rsidRPr="00EB5CF0">
        <w:t>.</w:t>
      </w:r>
    </w:p>
    <w:p w:rsidR="00356E67" w:rsidRPr="00EB5CF0" w:rsidRDefault="00356E67" w:rsidP="00E16642"/>
    <w:p w:rsidR="00356E67" w:rsidRDefault="00356E67" w:rsidP="00E16642">
      <w:r w:rsidRPr="00EB5CF0">
        <w:t xml:space="preserve">La investigación es uno de los recursos más importantes para las instituciones educativas, de acuerdo con criterios internaciones, a saber, los lineamientos de la </w:t>
      </w:r>
      <w:r w:rsidRPr="00EB5CF0">
        <w:lastRenderedPageBreak/>
        <w:t xml:space="preserve">UNESCO y la Organización para la Cooperación y el Desarrollo Económico (ver </w:t>
      </w:r>
      <w:r w:rsidRPr="00EB5CF0">
        <w:rPr>
          <w:noProof/>
        </w:rPr>
        <w:t>OECD por sus siglas en inglés, 2004)</w:t>
      </w:r>
      <w:r w:rsidRPr="00EB5CF0">
        <w:t>, se cataloga en: básica, aplicada y de desarrollo experimental:</w:t>
      </w:r>
    </w:p>
    <w:p w:rsidR="00C05449" w:rsidRPr="00EB5CF0" w:rsidRDefault="00C05449" w:rsidP="00E16642"/>
    <w:p w:rsidR="00356E67" w:rsidRPr="00EB5CF0" w:rsidRDefault="00356E67" w:rsidP="00E16642">
      <w:pPr>
        <w:rPr>
          <w:bCs/>
        </w:rPr>
      </w:pPr>
      <w:proofErr w:type="gramStart"/>
      <w:r w:rsidRPr="00EB5CF0">
        <w:rPr>
          <w:bCs/>
          <w:i/>
          <w:iCs/>
        </w:rPr>
        <w:t>investigación</w:t>
      </w:r>
      <w:proofErr w:type="gramEnd"/>
      <w:r w:rsidRPr="00EB5CF0">
        <w:rPr>
          <w:bCs/>
          <w:i/>
          <w:iCs/>
        </w:rPr>
        <w:t xml:space="preserve"> básica,</w:t>
      </w:r>
      <w:r w:rsidRPr="00EB5CF0">
        <w:rPr>
          <w:bCs/>
          <w:iCs/>
        </w:rPr>
        <w:t xml:space="preserve"> también </w:t>
      </w:r>
      <w:r w:rsidRPr="00EB5CF0">
        <w:rPr>
          <w:bCs/>
        </w:rPr>
        <w:t xml:space="preserve">trabajo experimental o teórico, es realizada principalmente con objeto de generar nuevos conocimientos sobre los fundamentos de fenómenos y hechos observables, sin prever ninguna aplicación específica inmediata; </w:t>
      </w:r>
    </w:p>
    <w:p w:rsidR="00356E67" w:rsidRPr="00EB5CF0" w:rsidRDefault="00356E67" w:rsidP="00E16642">
      <w:pPr>
        <w:rPr>
          <w:bCs/>
        </w:rPr>
      </w:pPr>
    </w:p>
    <w:p w:rsidR="00356E67" w:rsidRPr="00EB5CF0" w:rsidRDefault="00356E67" w:rsidP="00E16642">
      <w:pPr>
        <w:rPr>
          <w:bCs/>
        </w:rPr>
      </w:pPr>
      <w:proofErr w:type="gramStart"/>
      <w:r w:rsidRPr="00EB5CF0">
        <w:rPr>
          <w:bCs/>
          <w:i/>
          <w:iCs/>
        </w:rPr>
        <w:t>investigación</w:t>
      </w:r>
      <w:proofErr w:type="gramEnd"/>
      <w:r w:rsidRPr="00EB5CF0">
        <w:rPr>
          <w:bCs/>
          <w:i/>
          <w:iCs/>
        </w:rPr>
        <w:t xml:space="preserve"> aplicada,</w:t>
      </w:r>
      <w:r w:rsidRPr="00EB5CF0">
        <w:rPr>
          <w:bCs/>
          <w:iCs/>
        </w:rPr>
        <w:t xml:space="preserve"> es</w:t>
      </w:r>
      <w:r w:rsidRPr="00EB5CF0">
        <w:rPr>
          <w:bCs/>
          <w:i/>
          <w:iCs/>
        </w:rPr>
        <w:t xml:space="preserve"> </w:t>
      </w:r>
      <w:r w:rsidRPr="00EB5CF0">
        <w:rPr>
          <w:bCs/>
        </w:rPr>
        <w:t>la investigación original realizada para la adquisición de nuevos conocimientos, dirigida principalmente hacia un fin u objetivo práctico, determinado y específico;</w:t>
      </w:r>
    </w:p>
    <w:p w:rsidR="00356E67" w:rsidRPr="00EB5CF0" w:rsidRDefault="00356E67" w:rsidP="00E16642">
      <w:pPr>
        <w:rPr>
          <w:bCs/>
          <w:i/>
          <w:iCs/>
        </w:rPr>
      </w:pPr>
    </w:p>
    <w:p w:rsidR="00356E67" w:rsidRPr="00EB5CF0" w:rsidRDefault="00356E67" w:rsidP="00E16642">
      <w:pPr>
        <w:rPr>
          <w:bCs/>
        </w:rPr>
      </w:pPr>
      <w:r w:rsidRPr="00EB5CF0">
        <w:rPr>
          <w:bCs/>
          <w:i/>
          <w:iCs/>
        </w:rPr>
        <w:t xml:space="preserve">desarrollo experimental, </w:t>
      </w:r>
      <w:r w:rsidRPr="00EB5CF0">
        <w:rPr>
          <w:bCs/>
          <w:iCs/>
        </w:rPr>
        <w:t>es</w:t>
      </w:r>
      <w:r w:rsidRPr="00EB5CF0">
        <w:rPr>
          <w:bCs/>
          <w:i/>
          <w:iCs/>
        </w:rPr>
        <w:t xml:space="preserve"> </w:t>
      </w:r>
      <w:r w:rsidRPr="00EB5CF0">
        <w:rPr>
          <w:bCs/>
        </w:rPr>
        <w:t>el trabajo sistemático llevado a cabo sobre el conocimiento ya existente, adquirido de la investigación y experiencia práctica; dirigido a producción de nuevos materiales, productos y servicios; a la instalación de nuevos procesos, sistemas y servicios y al mejoramiento sustancial de los ya producidos e instalados.</w:t>
      </w:r>
    </w:p>
    <w:p w:rsidR="00356E67" w:rsidRPr="00EB5CF0" w:rsidRDefault="00356E67" w:rsidP="00E16642"/>
    <w:p w:rsidR="00356E67" w:rsidRPr="00EB5CF0" w:rsidRDefault="00356E67" w:rsidP="00E16642">
      <w:r w:rsidRPr="00EB5CF0">
        <w:t xml:space="preserve">El IPN utiliza la misma clasificación, aunque aclara que en la investigación básica se avanza sobre las fronteras del conocimiento o en la búsqueda de aplicaciones originales; en la investigación aplicada comparte de manera precisa la clasificación internacional anterior y para el desarrollo experimental especifica que trata de la producción de nuevos materiales, productos, servicios sistemas o el mejoramiento de ellos. Esto también aplica en la diferenciación que realiza por tipo de posgrado </w:t>
      </w:r>
      <w:sdt>
        <w:sdtPr>
          <w:id w:val="776790"/>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(IPN, 2004, Cuaderno 4)</w:t>
          </w:r>
          <w:r w:rsidR="0072146B" w:rsidRPr="00EB5CF0">
            <w:fldChar w:fldCharType="end"/>
          </w:r>
        </w:sdtContent>
      </w:sdt>
      <w:r w:rsidRPr="00EB5CF0">
        <w:t>. Sin embargo, el IPN aclara que la clasificación no pretende establecer limitaciones sino implican una diferenciación al momento de establecer políticas y estrategias de fomento.</w:t>
      </w:r>
    </w:p>
    <w:p w:rsidR="00356E67" w:rsidRPr="00EB5CF0" w:rsidRDefault="00356E67" w:rsidP="00E16642"/>
    <w:p w:rsidR="00356E67" w:rsidRPr="00EB5CF0" w:rsidRDefault="00356E67" w:rsidP="00E16642">
      <w:r w:rsidRPr="00EB5CF0">
        <w:t xml:space="preserve">La investigación se convierte en actor principal en el Modelo Educativo como parte generadora de los conocimientos necesarios para la Reforma Educativa y para la </w:t>
      </w:r>
      <w:r w:rsidRPr="00EB5CF0">
        <w:lastRenderedPageBreak/>
        <w:t>construcción de una sociedad del conocimiento; también será la clave de la formación de cada estudiante ya que será el apoyo desde el nivel medio superior hasta el posgrado y permitirá la detección temprana de investigadores y la actualización de los profesores del IPN propiciando espacios de participación en las diferentes líneas y políticas institucionales; asimismo sigue considerándose como el motor del desarrollo sustentable del país y la construcción de la sociedad del conocimiento</w:t>
      </w:r>
      <w:sdt>
        <w:sdtPr>
          <w:id w:val="776793"/>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 xml:space="preserve"> (IPN, 2004, Cuaderno 4)</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 xml:space="preserve">Para lograr lo anterior, es decir, la integración de la investigación y el posgrado en el Modelo Educativo </w:t>
      </w:r>
      <w:sdt>
        <w:sdtPr>
          <w:id w:val="17205482"/>
          <w:citation/>
        </w:sdtPr>
        <w:sdtEndPr/>
        <w:sdtContent>
          <w:r w:rsidR="0072146B" w:rsidRPr="00EB5CF0">
            <w:fldChar w:fldCharType="begin"/>
          </w:r>
          <w:r w:rsidRPr="00EB5CF0">
            <w:instrText xml:space="preserve"> CITATION IPN04 \l 2058  \m IPN041</w:instrText>
          </w:r>
          <w:r w:rsidR="0072146B" w:rsidRPr="00EB5CF0">
            <w:fldChar w:fldCharType="separate"/>
          </w:r>
          <w:r w:rsidRPr="00EB5CF0">
            <w:rPr>
              <w:noProof/>
            </w:rPr>
            <w:t>(IPN, 2003, Cuaderno 1; IPN, 2004, Cuaderno 18)</w:t>
          </w:r>
          <w:r w:rsidR="0072146B" w:rsidRPr="00EB5CF0">
            <w:fldChar w:fldCharType="end"/>
          </w:r>
        </w:sdtContent>
      </w:sdt>
      <w:r w:rsidRPr="00EB5CF0">
        <w:t>, se establece el Programa Estratégico de Investigación y Posgrado</w:t>
      </w:r>
      <w:sdt>
        <w:sdtPr>
          <w:id w:val="4467128"/>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 xml:space="preserve"> (IPN, 2004, Cuaderno 4)</w:t>
          </w:r>
          <w:r w:rsidR="0072146B" w:rsidRPr="00EB5CF0">
            <w:fldChar w:fldCharType="end"/>
          </w:r>
        </w:sdtContent>
      </w:sdt>
      <w:r w:rsidRPr="00EB5CF0">
        <w:t xml:space="preserve">. Es importante mencionar, antes de detallar dicho Programa, que el Modelo Educativo IPN retoma, desde el artículo 6to de la Declaratoria de la UNESCO </w:t>
      </w:r>
      <w:sdt>
        <w:sdtPr>
          <w:id w:val="946041"/>
          <w:citation/>
        </w:sdtPr>
        <w:sdtEndPr/>
        <w:sdtContent>
          <w:r w:rsidR="0072146B" w:rsidRPr="00EB5CF0">
            <w:fldChar w:fldCharType="begin"/>
          </w:r>
          <w:r w:rsidRPr="00EB5CF0">
            <w:instrText xml:space="preserve"> CITATION UNE98 \n  \t  \l 2058  </w:instrText>
          </w:r>
          <w:r w:rsidR="0072146B" w:rsidRPr="00EB5CF0">
            <w:fldChar w:fldCharType="separate"/>
          </w:r>
          <w:r w:rsidRPr="00EB5CF0">
            <w:rPr>
              <w:noProof/>
            </w:rPr>
            <w:t>(1998)</w:t>
          </w:r>
          <w:r w:rsidR="0072146B" w:rsidRPr="00EB5CF0">
            <w:fldChar w:fldCharType="end"/>
          </w:r>
        </w:sdtContent>
      </w:sdt>
      <w:r w:rsidRPr="00EB5CF0">
        <w:t xml:space="preserve"> que se les debe dar prioridad a las áreas: ciencias sociales y humanas, ciencias de la educación, ingeniería, ciencias naturales, matemáticas, informática y artes; integrándolas en diferentes áreas del Instituto como Ingeniería y Tecnología; Biotecnología y Alimentos; Cómputo, Informática y Telecomunicaciones; Materiales; Ciencias Médico-Biológicas; Medio Ambiente y Recursos Naturales; Ciencias Naturales y Agrícolas; Ciencias Sociales, Económicas y Administrativas e Investigación Educativa</w:t>
      </w:r>
      <w:sdt>
        <w:sdtPr>
          <w:id w:val="946047"/>
          <w:citation/>
        </w:sdtPr>
        <w:sdtEndPr/>
        <w:sdtContent>
          <w:r w:rsidR="00B20C48">
            <w:fldChar w:fldCharType="begin"/>
          </w:r>
          <w:r w:rsidR="00B20C48">
            <w:instrText xml:space="preserve"> CITATION IPN041 \l 2058 </w:instrText>
          </w:r>
          <w:r w:rsidR="00B20C48">
            <w:fldChar w:fldCharType="separate"/>
          </w:r>
          <w:r w:rsidRPr="00EB5CF0">
            <w:rPr>
              <w:noProof/>
            </w:rPr>
            <w:t xml:space="preserve"> (IPN, 2004, Cuaderno 18)</w:t>
          </w:r>
          <w:r w:rsidR="00B20C48">
            <w:rPr>
              <w:noProof/>
            </w:rPr>
            <w:fldChar w:fldCharType="end"/>
          </w:r>
        </w:sdtContent>
      </w:sdt>
      <w:r w:rsidRPr="00EB5CF0">
        <w:t>.</w:t>
      </w:r>
    </w:p>
    <w:p w:rsidR="00356E67" w:rsidRPr="00EB5CF0" w:rsidRDefault="00356E67" w:rsidP="00E16642"/>
    <w:p w:rsidR="00356E67" w:rsidRPr="00EB5CF0" w:rsidRDefault="00356E67" w:rsidP="00E16642"/>
    <w:p w:rsidR="00356E67" w:rsidRPr="00EB5CF0" w:rsidRDefault="00356E67" w:rsidP="003E1A0D">
      <w:pPr>
        <w:pStyle w:val="Ttulo2"/>
      </w:pPr>
      <w:bookmarkStart w:id="28" w:name="_Toc255805929"/>
      <w:bookmarkStart w:id="29" w:name="_Toc308691488"/>
      <w:r w:rsidRPr="00EB5CF0">
        <w:t>Programa Estratégico de Investigación y Posgrado</w:t>
      </w:r>
      <w:bookmarkEnd w:id="28"/>
      <w:bookmarkEnd w:id="29"/>
    </w:p>
    <w:p w:rsidR="00356E67" w:rsidRPr="00EB5CF0" w:rsidRDefault="00356E67" w:rsidP="00E16642"/>
    <w:p w:rsidR="00356E67" w:rsidRPr="00EB5CF0" w:rsidRDefault="00356E67" w:rsidP="00E16642">
      <w:r w:rsidRPr="00EB5CF0">
        <w:t xml:space="preserve">El Programa Estratégico de Investigación y Posgrado del IPN es un instrumento para incrementar la calidad, ampliar la cobertura y lograr un mayor impacto y reconocimiento social de la investigación y el posgrado en todas y cada una de las Unidades Académicas </w:t>
      </w:r>
      <w:sdt>
        <w:sdtPr>
          <w:id w:val="1017299"/>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(IPN, 2004, Cuaderno 4)</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lastRenderedPageBreak/>
        <w:t xml:space="preserve">El Programa Estratégico de Investigación y Posgrado que refiere como Misión de la investigación y del posgrado en el IPN </w:t>
      </w:r>
      <w:sdt>
        <w:sdtPr>
          <w:id w:val="24172287"/>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(IPN, 2004, Cuaderno 4)</w:t>
          </w:r>
          <w:r w:rsidR="0072146B" w:rsidRPr="00EB5CF0">
            <w:fldChar w:fldCharType="end"/>
          </w:r>
        </w:sdtContent>
      </w:sdt>
      <w:r w:rsidRPr="00EB5CF0">
        <w:t>.</w:t>
      </w:r>
    </w:p>
    <w:p w:rsidR="00356E67" w:rsidRPr="00EB5CF0" w:rsidRDefault="00356E67" w:rsidP="00E16642"/>
    <w:p w:rsidR="00356E67" w:rsidRPr="00EB5CF0" w:rsidRDefault="00356E67" w:rsidP="00E16642">
      <w:pPr>
        <w:rPr>
          <w:i/>
          <w:iCs/>
        </w:rPr>
      </w:pPr>
      <w:r w:rsidRPr="00EB5CF0">
        <w:rPr>
          <w:i/>
          <w:iCs/>
        </w:rPr>
        <w:t xml:space="preserve">La </w:t>
      </w:r>
      <w:r w:rsidRPr="00EB5CF0">
        <w:t xml:space="preserve">Misión </w:t>
      </w:r>
      <w:r w:rsidRPr="00EB5CF0">
        <w:rPr>
          <w:i/>
          <w:iCs/>
        </w:rPr>
        <w:t xml:space="preserve">de la investigación </w:t>
      </w:r>
      <w:r w:rsidRPr="00EB5CF0">
        <w:t xml:space="preserve">en </w:t>
      </w:r>
      <w:r w:rsidRPr="00EB5CF0">
        <w:rPr>
          <w:i/>
          <w:iCs/>
        </w:rPr>
        <w:t>el IPN es:</w:t>
      </w:r>
    </w:p>
    <w:p w:rsidR="00356E67" w:rsidRPr="00EB5CF0" w:rsidRDefault="00356E67" w:rsidP="00E16642">
      <w:r w:rsidRPr="00EB5CF0">
        <w:t>Constituirse en el espacio por excelencia en el que se genera, transmite, transfiere y aplica el conocimiento científico y tecnológico, donde se construye el capital del conocimiento para comprender e intervenir innovadora y positivamente en la realidad social. Contribuir a la formación de recursos humanos de alto nivel, orientada por los más altos valores éticos y por el compromiso para mejorar la calidad de vida de la sociedad y al desarrollo sustentable del país.</w:t>
      </w:r>
    </w:p>
    <w:p w:rsidR="00356E67" w:rsidRPr="00EB5CF0" w:rsidRDefault="00356E67" w:rsidP="00E16642"/>
    <w:p w:rsidR="00356E67" w:rsidRPr="00EB5CF0" w:rsidRDefault="00356E67" w:rsidP="00E16642">
      <w:pPr>
        <w:rPr>
          <w:i/>
          <w:iCs/>
        </w:rPr>
      </w:pPr>
      <w:r w:rsidRPr="00EB5CF0">
        <w:rPr>
          <w:i/>
          <w:iCs/>
        </w:rPr>
        <w:t xml:space="preserve">La </w:t>
      </w:r>
      <w:r w:rsidRPr="00EB5CF0">
        <w:t xml:space="preserve">Misión </w:t>
      </w:r>
      <w:r w:rsidRPr="00EB5CF0">
        <w:rPr>
          <w:i/>
          <w:iCs/>
        </w:rPr>
        <w:t xml:space="preserve">del posgrado </w:t>
      </w:r>
      <w:r w:rsidRPr="00EB5CF0">
        <w:t xml:space="preserve">en </w:t>
      </w:r>
      <w:r w:rsidRPr="00EB5CF0">
        <w:rPr>
          <w:i/>
          <w:iCs/>
        </w:rPr>
        <w:t>el IPN es:</w:t>
      </w:r>
    </w:p>
    <w:p w:rsidR="00356E67" w:rsidRPr="00EB5CF0" w:rsidRDefault="00356E67" w:rsidP="00E16642">
      <w:r w:rsidRPr="00EB5CF0">
        <w:t>Formar científicos, tecnólogos y personas altamente capacitadas con conocimientos avanzados, innovadores y pertinentes desde el punto de vista social, con la capacidad de utilizarlos de manera innovadora para resolver problemas relevantes del país, contribuir a abatir sus rezagos e inequidades y abrir nuevos campos al conocimiento en la ciencia y la tecnología. La formación que ofrece el Instituto fomenta los más altos valores éticos, permite el autoaprendizaje, la transmisión de conocimientos y el trabajo en equipos multidisciplinarios nacionales e internacionales.</w:t>
      </w:r>
    </w:p>
    <w:p w:rsidR="00356E67" w:rsidRPr="00EB5CF0" w:rsidRDefault="00356E67" w:rsidP="00E16642"/>
    <w:p w:rsidR="00356E67" w:rsidRPr="00EB5CF0" w:rsidRDefault="00356E67" w:rsidP="00E16642">
      <w:pPr>
        <w:rPr>
          <w:b/>
        </w:rPr>
      </w:pPr>
      <w:r w:rsidRPr="00EB5CF0">
        <w:t>Las líneas de acción del Programa son dos, en la primera se realizará un Reordenamiento de la Investigación y el Posgrado, a través de la planeación organización, evaluación y seguimiento a los programas, además se promoverá el desarrollo del personal académico y la formación de jóvenes investigadores en términos de la integración de la investigación en los programas y se establecerán mecanismos de operación; y en la segunda, la línea Apoyo-Consolidación, se trabajará sobre la obtención de recursos e insumos como el financiamiento para el desarrollo de la investigación y la consolidación del personal académico</w:t>
      </w:r>
      <w:sdt>
        <w:sdtPr>
          <w:id w:val="798958"/>
          <w:citation/>
        </w:sdtPr>
        <w:sdtEndPr/>
        <w:sdtContent>
          <w:r w:rsidR="0072146B" w:rsidRPr="00EB5CF0">
            <w:fldChar w:fldCharType="begin"/>
          </w:r>
          <w:r w:rsidRPr="00EB5CF0">
            <w:instrText xml:space="preserve"> CITATION IPNo4 \l 2058   \m IPN041</w:instrText>
          </w:r>
          <w:r w:rsidR="0072146B" w:rsidRPr="00EB5CF0">
            <w:fldChar w:fldCharType="separate"/>
          </w:r>
          <w:r w:rsidRPr="00EB5CF0">
            <w:rPr>
              <w:noProof/>
            </w:rPr>
            <w:t xml:space="preserve"> (IPN, 2004, Cuaderno 4; IPN, 2004, Cuaderno 18)</w:t>
          </w:r>
          <w:r w:rsidR="0072146B" w:rsidRPr="00EB5CF0">
            <w:fldChar w:fldCharType="end"/>
          </w:r>
        </w:sdtContent>
      </w:sdt>
      <w:r w:rsidRPr="00EB5CF0">
        <w:t>.</w:t>
      </w:r>
    </w:p>
    <w:p w:rsidR="00366FC1" w:rsidRDefault="00366FC1" w:rsidP="00E16642">
      <w:pPr>
        <w:spacing w:after="200"/>
        <w:jc w:val="left"/>
        <w:rPr>
          <w:b/>
        </w:rPr>
      </w:pPr>
      <w:r>
        <w:rPr>
          <w:b/>
        </w:rPr>
        <w:br w:type="page"/>
      </w:r>
    </w:p>
    <w:p w:rsidR="00356E67" w:rsidRPr="00E268C6" w:rsidRDefault="00356E67" w:rsidP="00E16642">
      <w:pPr>
        <w:rPr>
          <w:b/>
        </w:rPr>
      </w:pPr>
      <w:r w:rsidRPr="00E268C6">
        <w:rPr>
          <w:b/>
        </w:rPr>
        <w:lastRenderedPageBreak/>
        <w:t>Reordenamiento de la Investigación y el Posgrado.</w:t>
      </w:r>
    </w:p>
    <w:p w:rsidR="00356E67" w:rsidRPr="00EB5CF0" w:rsidRDefault="00356E67" w:rsidP="00E16642">
      <w:pPr>
        <w:rPr>
          <w:b/>
        </w:rPr>
      </w:pPr>
    </w:p>
    <w:p w:rsidR="00356E67" w:rsidRPr="00EB5CF0" w:rsidRDefault="00356E67" w:rsidP="00E16642">
      <w:r w:rsidRPr="00EB5CF0">
        <w:t>El Reordenamiento de la Investigación y el Posgrado del Programa Estratégico para la Investigación y el Posgrado</w:t>
      </w:r>
      <w:sdt>
        <w:sdtPr>
          <w:id w:val="1151560"/>
          <w:citation/>
        </w:sdtPr>
        <w:sdtEndPr/>
        <w:sdtContent>
          <w:r w:rsidR="00B20C48">
            <w:fldChar w:fldCharType="begin"/>
          </w:r>
          <w:r w:rsidR="00B20C48">
            <w:instrText xml:space="preserve"> CITATION IPNo4 \l 3082 </w:instrText>
          </w:r>
          <w:r w:rsidR="00B20C48">
            <w:fldChar w:fldCharType="separate"/>
          </w:r>
          <w:r w:rsidRPr="00EB5CF0">
            <w:rPr>
              <w:noProof/>
            </w:rPr>
            <w:t xml:space="preserve"> (IPN, 2004, Cuaderno 4)</w:t>
          </w:r>
          <w:r w:rsidR="00B20C48">
            <w:rPr>
              <w:noProof/>
            </w:rPr>
            <w:fldChar w:fldCharType="end"/>
          </w:r>
        </w:sdtContent>
      </w:sdt>
      <w:r w:rsidRPr="00EB5CF0">
        <w:t xml:space="preserve"> permitió la formación de nuevos órganos o funciones de éstos, además, revalora la función de la investigación y su vinculación con el posgrado y la formación de los Programas y Líneas Institucionales de Generación, Formación y Aplicación, así como los tipos de investigación avalados.</w:t>
      </w:r>
    </w:p>
    <w:p w:rsidR="00356E67" w:rsidRPr="00EB5CF0" w:rsidRDefault="00356E67" w:rsidP="00E16642"/>
    <w:p w:rsidR="00356E67" w:rsidRPr="00EB5CF0" w:rsidRDefault="00356E67" w:rsidP="00E16642">
      <w:r w:rsidRPr="00EB5CF0">
        <w:t xml:space="preserve">Uno de órganos que tiene un nuevo papel es la Coordinación General de Vinculación, se había creado en 1999, luego de una serie de cambios dentro del IPN en cuanto a los órganos encargados de intercambio y cooperación académica (véase </w:t>
      </w:r>
      <w:sdt>
        <w:sdtPr>
          <w:id w:val="3540464"/>
          <w:citation/>
        </w:sdtPr>
        <w:sdtEndPr/>
        <w:sdtContent>
          <w:r w:rsidR="0072146B" w:rsidRPr="00EB5CF0">
            <w:fldChar w:fldCharType="begin"/>
          </w:r>
          <w:r w:rsidRPr="00EB5CF0">
            <w:instrText xml:space="preserve"> CITATION IPN09 \l 2058 </w:instrText>
          </w:r>
          <w:r w:rsidR="0072146B" w:rsidRPr="00EB5CF0">
            <w:fldChar w:fldCharType="separate"/>
          </w:r>
          <w:r w:rsidRPr="00EB5CF0">
            <w:rPr>
              <w:noProof/>
            </w:rPr>
            <w:t>(IPN, 2009)</w:t>
          </w:r>
          <w:r w:rsidR="0072146B" w:rsidRPr="00EB5CF0">
            <w:fldChar w:fldCharType="end"/>
          </w:r>
        </w:sdtContent>
      </w:sdt>
      <w:r w:rsidRPr="00EB5CF0">
        <w:t>, pero en el 2000 tuvo una reforma en su estructura organizacional quedando como Coordinación  General de Vinculación Académica y Tecnológica.</w:t>
      </w:r>
    </w:p>
    <w:p w:rsidR="00356E67" w:rsidRPr="00EB5CF0" w:rsidRDefault="00356E67" w:rsidP="00E16642"/>
    <w:p w:rsidR="00356E67" w:rsidRPr="00EB5CF0" w:rsidRDefault="00356E67" w:rsidP="00E16642">
      <w:r w:rsidRPr="00EB5CF0">
        <w:t>La nueva Coordinación es encargada de la evaluación y seguimiento de las actividades de investigación y posgrado con la finalidad de retroalimentar los programas y mejorar su calidad, así lograr la acreditación nacional e internacional. También a través de ella se conforman cuerpos colegiados consultivos con destacados egresados del IPN, representantes de los sectores social y productivo y miembros de organizaciones nacionales e internacionales. Otras de sus funciones son el desarrollo del personal académico por medios del rediseño y el fortalecimiento del Programa de Formación y Actualización de Personal Académico y la colaboración con otras instituciones nacionales e internacionales en el mismo sentido de apoyo para los académicos; el fomento de participación como consultor politécnico en diferentes sectores de bienes y servicios; la integración de la investigación en los modelos Educativo y de Integración social; por último la formación de jóvenes investigadores a través del fomento de la investigación desde etapas tempranas de estudio y la identificación de vocaciones para la investigación</w:t>
      </w:r>
      <w:sdt>
        <w:sdtPr>
          <w:id w:val="3540463"/>
          <w:citation/>
        </w:sdtPr>
        <w:sdtEndPr/>
        <w:sdtContent>
          <w:r w:rsidR="0072146B" w:rsidRPr="00EB5CF0">
            <w:fldChar w:fldCharType="begin"/>
          </w:r>
          <w:r w:rsidRPr="00EB5CF0">
            <w:instrText xml:space="preserve"> CITATION IPN041 \l 2058  \m IPN09</w:instrText>
          </w:r>
          <w:r w:rsidR="0072146B" w:rsidRPr="00EB5CF0">
            <w:fldChar w:fldCharType="separate"/>
          </w:r>
          <w:r w:rsidRPr="00EB5CF0">
            <w:rPr>
              <w:noProof/>
            </w:rPr>
            <w:t xml:space="preserve"> (IPN, 2004, Cuaderno 18; IPN, 2009)</w:t>
          </w:r>
          <w:r w:rsidR="0072146B" w:rsidRPr="00EB5CF0">
            <w:fldChar w:fldCharType="end"/>
          </w:r>
        </w:sdtContent>
      </w:sdt>
      <w:r w:rsidRPr="00EB5CF0">
        <w:t xml:space="preserve">. </w:t>
      </w:r>
    </w:p>
    <w:p w:rsidR="00356E67" w:rsidRPr="00EB5CF0" w:rsidRDefault="00356E67" w:rsidP="00E16642">
      <w:pPr>
        <w:rPr>
          <w:b/>
        </w:rPr>
      </w:pPr>
    </w:p>
    <w:p w:rsidR="00356E67" w:rsidRPr="00EB5CF0" w:rsidRDefault="00356E67" w:rsidP="00E16642">
      <w:r w:rsidRPr="00EB5CF0">
        <w:t xml:space="preserve">En este punto se establece como eje fundamental del Modelo Educativo a la investigación y asegura su vinculación con el posgrado el cual será encaminado a la elevación de la calidad y a la atención de formación ad hoc a los sectores sociales y productivos. Asimismo se emprenderá la actualización, o en su defecto, la formación de personal académico dedicado a la investigación, al tiempo de integrar de manera temprana a estudiantes en este proceso. </w:t>
      </w:r>
    </w:p>
    <w:p w:rsidR="00356E67" w:rsidRPr="00EB5CF0" w:rsidRDefault="00356E67" w:rsidP="00E16642"/>
    <w:p w:rsidR="00356E67" w:rsidRPr="00EB5CF0" w:rsidRDefault="00356E67" w:rsidP="00E16642">
      <w:pPr>
        <w:rPr>
          <w:rStyle w:val="nfasissutil"/>
          <w:rFonts w:ascii="Arial" w:hAnsi="Arial" w:cs="Arial"/>
          <w:sz w:val="24"/>
          <w:szCs w:val="24"/>
        </w:rPr>
      </w:pPr>
      <w:r w:rsidRPr="00EB5CF0">
        <w:t xml:space="preserve">Lo anterior se logrará a través del establecimiento de Programas y Líneas Institucionales de Generación, Formación y Aplicación del conocimiento pensando en la vigencia, la relevancia de las necesidades de entidades públicas, sociales o privadas; que se abordarán más adelante. </w:t>
      </w:r>
    </w:p>
    <w:p w:rsidR="00356E67" w:rsidRPr="00EB5CF0" w:rsidRDefault="00356E67" w:rsidP="00E16642"/>
    <w:p w:rsidR="00356E67" w:rsidRPr="00EB5CF0" w:rsidRDefault="00356E67" w:rsidP="00E16642">
      <w:r w:rsidRPr="00EB5CF0">
        <w:t xml:space="preserve">La investigación se caracterizará de manera articulada entre la básica, aplicada y experimental hacia la innovación tecnológica y la transferencia; regulando la calidad y el reconocimiento nacional e internacional de los diferentes posgrados. Se impulsará el trabajo compartido entre Unidades Académicas. </w:t>
      </w:r>
    </w:p>
    <w:p w:rsidR="00356E67" w:rsidRPr="00EB5CF0" w:rsidRDefault="00356E67" w:rsidP="00E16642"/>
    <w:p w:rsidR="00366FC1" w:rsidRDefault="00366FC1" w:rsidP="00E16642">
      <w:pPr>
        <w:rPr>
          <w:b/>
        </w:rPr>
      </w:pPr>
    </w:p>
    <w:p w:rsidR="00356E67" w:rsidRPr="00E268C6" w:rsidRDefault="00356E67" w:rsidP="00E16642">
      <w:pPr>
        <w:rPr>
          <w:b/>
        </w:rPr>
      </w:pPr>
      <w:r w:rsidRPr="00E268C6">
        <w:rPr>
          <w:b/>
        </w:rPr>
        <w:t>Apoyo y Consolidación</w:t>
      </w:r>
    </w:p>
    <w:p w:rsidR="00356E67" w:rsidRPr="00EB5CF0" w:rsidRDefault="00356E67" w:rsidP="00E16642"/>
    <w:p w:rsidR="00356E67" w:rsidRPr="00EB5CF0" w:rsidRDefault="00356E67" w:rsidP="00E16642">
      <w:pPr>
        <w:rPr>
          <w:color w:val="548DD4" w:themeColor="text2" w:themeTint="99"/>
        </w:rPr>
      </w:pPr>
      <w:r w:rsidRPr="00EB5CF0">
        <w:t>La segunda línea de acción del Programa Estratégico para la Investigación y el Posgrado es la de Apoyo y Consolidación</w:t>
      </w:r>
      <w:sdt>
        <w:sdtPr>
          <w:id w:val="3540462"/>
          <w:citation/>
        </w:sdtPr>
        <w:sdtEndPr/>
        <w:sdtContent>
          <w:r w:rsidR="00B20C48">
            <w:fldChar w:fldCharType="begin"/>
          </w:r>
          <w:r w:rsidR="00B20C48">
            <w:instrText xml:space="preserve"> CITATION IPNo4 \l 3082 </w:instrText>
          </w:r>
          <w:r w:rsidR="00B20C48">
            <w:fldChar w:fldCharType="separate"/>
          </w:r>
          <w:r w:rsidRPr="00EB5CF0">
            <w:rPr>
              <w:noProof/>
            </w:rPr>
            <w:t xml:space="preserve"> (IPN, 2004, Cuaderno 4)</w:t>
          </w:r>
          <w:r w:rsidR="00B20C48">
            <w:rPr>
              <w:noProof/>
            </w:rPr>
            <w:fldChar w:fldCharType="end"/>
          </w:r>
        </w:sdtContent>
      </w:sdt>
      <w:r w:rsidRPr="00EB5CF0">
        <w:t xml:space="preserve"> y tiene como objetivo principal, asegurar una planta académica sólida responsable del impuso a los Programas y Líneas Institucionales de Generación, Formación y Aplicación de conocimiento y también acreditar el reconocimiento de dicho trabajo la obtención de apoyos financieros, es decir, propiciar nuevas y mejores condiciones para el trabajo académico colaborativo e integrado en redes. Garantizando la infraestructura y el equipamiento adecuado, moderno y suficiente, asimismo el acervo bibliográfico y </w:t>
      </w:r>
      <w:proofErr w:type="spellStart"/>
      <w:r w:rsidRPr="00EB5CF0">
        <w:t>hemerográfico</w:t>
      </w:r>
      <w:proofErr w:type="spellEnd"/>
      <w:r w:rsidRPr="00EB5CF0">
        <w:t>, y los espacios para la difusión de la producción científica</w:t>
      </w:r>
    </w:p>
    <w:p w:rsidR="00356E67" w:rsidRPr="00EB5CF0" w:rsidRDefault="00356E67" w:rsidP="00E16642"/>
    <w:p w:rsidR="00356E67" w:rsidRPr="00EB5CF0" w:rsidRDefault="00356E67" w:rsidP="00E16642">
      <w:r w:rsidRPr="00EB5CF0">
        <w:t>En el Programa Estratégico de Investigación y Posgrado también se definen 12 políticas para la investigación y el posgrado en el IPN</w:t>
      </w:r>
      <w:sdt>
        <w:sdtPr>
          <w:id w:val="4834499"/>
          <w:citation/>
        </w:sdtPr>
        <w:sdtEndPr/>
        <w:sdtContent>
          <w:r w:rsidR="0072146B" w:rsidRPr="00EB5CF0">
            <w:fldChar w:fldCharType="begin"/>
          </w:r>
          <w:r w:rsidRPr="00EB5CF0">
            <w:instrText xml:space="preserve"> CITATION Sec09 \m IPNo4 \l 2058  </w:instrText>
          </w:r>
          <w:r w:rsidR="0072146B" w:rsidRPr="00EB5CF0">
            <w:fldChar w:fldCharType="separate"/>
          </w:r>
          <w:r w:rsidRPr="00EB5CF0">
            <w:rPr>
              <w:noProof/>
            </w:rPr>
            <w:t xml:space="preserve"> (SIP IPN, 2009a; IPN, 2004, Cuaderno 4)</w:t>
          </w:r>
          <w:r w:rsidR="0072146B" w:rsidRPr="00EB5CF0">
            <w:fldChar w:fldCharType="end"/>
          </w:r>
        </w:sdtContent>
      </w:sdt>
      <w:r w:rsidRPr="00EB5CF0">
        <w:t xml:space="preserve">: </w:t>
      </w:r>
    </w:p>
    <w:p w:rsidR="00356E67" w:rsidRPr="00EB5CF0" w:rsidRDefault="00356E67" w:rsidP="00E16642"/>
    <w:p w:rsidR="00356E67" w:rsidRPr="00EB5CF0" w:rsidRDefault="00356E67" w:rsidP="00C05449">
      <w:pPr>
        <w:ind w:left="708"/>
      </w:pPr>
      <w:r w:rsidRPr="00EB5CF0">
        <w:t>1.-Tanto la investigación y el posgrado cumplirán con el sentido institucional del Politécnico, incrementando la capacidad de generar conocimiento así como su transmisión y uso en atención a las necesidades del país.</w:t>
      </w:r>
    </w:p>
    <w:p w:rsidR="00356E67" w:rsidRPr="00EB5CF0" w:rsidRDefault="00356E67" w:rsidP="00C05449">
      <w:pPr>
        <w:ind w:left="708"/>
      </w:pPr>
      <w:r w:rsidRPr="00EB5CF0">
        <w:t>2.- Tanto el posgrado y la investigación tendrán un valor estratégico en el proceso de Reforma Académica en la aplicación del Modelo Educativo, por lo que se trabajará en el incremento de la matrícula en el nivel de posgrado en donde estarán consideradas: la investigación básica, la investigación aplicada y el desarrollo experimental permeadas siempre por la calidad humana y la misión del desarrollo nacional. Pero también se pretende formar como modelo de aprendizaje a la investigación del posgrado en los niveles medio y medio superior.</w:t>
      </w:r>
    </w:p>
    <w:p w:rsidR="00356E67" w:rsidRPr="00EB5CF0" w:rsidRDefault="00356E67" w:rsidP="00C05449">
      <w:pPr>
        <w:ind w:left="708"/>
      </w:pPr>
      <w:r w:rsidRPr="00EB5CF0">
        <w:t>3.- La investigación aplicada y el desarrollo experimental responderán al Programa Especial de Ciencia y Tecnología 2001-2006 gubernamental.</w:t>
      </w:r>
    </w:p>
    <w:p w:rsidR="00356E67" w:rsidRPr="00EB5CF0" w:rsidRDefault="00356E67" w:rsidP="00C05449">
      <w:pPr>
        <w:ind w:left="708"/>
      </w:pPr>
      <w:r w:rsidRPr="00EB5CF0">
        <w:t>4.- Existirán mecanismos garantes de la vinculación del posgrado y la investigación.</w:t>
      </w:r>
    </w:p>
    <w:p w:rsidR="00356E67" w:rsidRPr="00EB5CF0" w:rsidRDefault="00356E67" w:rsidP="00C05449">
      <w:pPr>
        <w:ind w:left="708"/>
      </w:pPr>
      <w:r w:rsidRPr="00EB5CF0">
        <w:t>5.- Con el propósito de fortalecer las áreas científicas y tecnológicas que de suyo ha venido liderando el ejercicio del IPN, se conservarán y ampliarán los posgrados profesionalizantes.</w:t>
      </w:r>
    </w:p>
    <w:p w:rsidR="00356E67" w:rsidRPr="00EB5CF0" w:rsidRDefault="00356E67" w:rsidP="00C05449">
      <w:pPr>
        <w:ind w:left="708"/>
      </w:pPr>
      <w:r w:rsidRPr="00EB5CF0">
        <w:t>6.- Existirán mecanismos garantes de la calidad y mejora de las dos áreas (investigación y posgrado).</w:t>
      </w:r>
    </w:p>
    <w:p w:rsidR="00356E67" w:rsidRPr="00EB5CF0" w:rsidRDefault="00356E67" w:rsidP="00C05449">
      <w:pPr>
        <w:ind w:left="708"/>
      </w:pPr>
      <w:r w:rsidRPr="00EB5CF0">
        <w:t>7.- Se fomentará la participación en redes nacionales e internacionales de cooperación académica para lograr reconocimiento y posicionamiento de las actividades del IPN.</w:t>
      </w:r>
    </w:p>
    <w:p w:rsidR="00356E67" w:rsidRPr="00EB5CF0" w:rsidRDefault="00356E67" w:rsidP="00C05449">
      <w:pPr>
        <w:ind w:left="708"/>
      </w:pPr>
      <w:r w:rsidRPr="00EB5CF0">
        <w:t>8.- El fomento también será al interior del IPN; mejorando los lazos o vinculación entre las diferentes Unidades Académicas.</w:t>
      </w:r>
    </w:p>
    <w:p w:rsidR="00356E67" w:rsidRPr="00EB5CF0" w:rsidRDefault="00356E67" w:rsidP="00C05449">
      <w:pPr>
        <w:ind w:left="708"/>
      </w:pPr>
      <w:r w:rsidRPr="00EB5CF0">
        <w:lastRenderedPageBreak/>
        <w:t xml:space="preserve">9.- Habrá una normatividad específica para elevar la calidad, la innovación y la comunicación. </w:t>
      </w:r>
    </w:p>
    <w:p w:rsidR="00356E67" w:rsidRPr="00EB5CF0" w:rsidRDefault="00356E67" w:rsidP="00C05449">
      <w:pPr>
        <w:ind w:left="708"/>
      </w:pPr>
      <w:r w:rsidRPr="00EB5CF0">
        <w:t xml:space="preserve">10.- Se trabajará en la consolidación de la planta académica y la detección de jóvenes investigadores. </w:t>
      </w:r>
    </w:p>
    <w:p w:rsidR="00356E67" w:rsidRPr="00EB5CF0" w:rsidRDefault="00356E67" w:rsidP="00C05449">
      <w:pPr>
        <w:ind w:left="708"/>
      </w:pPr>
      <w:r w:rsidRPr="00EB5CF0">
        <w:t>11.- Todo el personal académico del IPN será reconocido y estimulado a realizar actividades de investigación y posgrado.</w:t>
      </w:r>
    </w:p>
    <w:p w:rsidR="00356E67" w:rsidRPr="00EB5CF0" w:rsidRDefault="00356E67" w:rsidP="00C05449">
      <w:pPr>
        <w:ind w:left="708"/>
      </w:pPr>
      <w:r w:rsidRPr="00EB5CF0">
        <w:t>12.- Se establecerán estrategias para optimizar el uso de recursos e instalaciones y mecanismos para identificar y mantener fuentes de financiamiento.</w:t>
      </w:r>
    </w:p>
    <w:p w:rsidR="00356E67" w:rsidRPr="00EB5CF0" w:rsidRDefault="00356E67" w:rsidP="00E16642"/>
    <w:p w:rsidR="00356E67" w:rsidRPr="00EB5CF0" w:rsidRDefault="00356E67" w:rsidP="00E16642">
      <w:r w:rsidRPr="00EB5CF0">
        <w:t>Ante tales compromisos, se estableció el Modelo de Investigación y Posgrado, que tiene como fin la definición de Programas y Líneas Institucionales de Generación, Formación y Aplicación del Conocimiento que coadyuvarán en la reagrupación de los académicos en temas relativos a la misión y visión del IPN. “De igual manera se plantean mecanismos de funcionamiento fundamentados en la cooperación entre académicos de distintas unidades, bajo distintas modalidades como la conformación de redes de colaboración.”</w:t>
      </w:r>
      <w:sdt>
        <w:sdtPr>
          <w:id w:val="1453659"/>
          <w:citation/>
        </w:sdtPr>
        <w:sdtEndPr/>
        <w:sdtContent>
          <w:r w:rsidR="0072146B" w:rsidRPr="00EB5CF0">
            <w:fldChar w:fldCharType="begin"/>
          </w:r>
          <w:r w:rsidRPr="00EB5CF0">
            <w:instrText xml:space="preserve"> CITATION IPN04 \l 2058   \m IPNo4</w:instrText>
          </w:r>
          <w:r w:rsidR="0072146B" w:rsidRPr="00EB5CF0">
            <w:fldChar w:fldCharType="separate"/>
          </w:r>
          <w:r w:rsidRPr="00EB5CF0">
            <w:rPr>
              <w:noProof/>
            </w:rPr>
            <w:t xml:space="preserve"> (IPN, 2003, Cuaderno 1; IPN, 2004, Cuaderno 4)</w:t>
          </w:r>
          <w:r w:rsidR="0072146B" w:rsidRPr="00EB5CF0">
            <w:fldChar w:fldCharType="end"/>
          </w:r>
        </w:sdtContent>
      </w:sdt>
      <w:r w:rsidRPr="00EB5CF0">
        <w:t>.</w:t>
      </w:r>
    </w:p>
    <w:p w:rsidR="00356E67" w:rsidRPr="00EB5CF0" w:rsidRDefault="00356E67" w:rsidP="00E16642"/>
    <w:p w:rsidR="00356E67" w:rsidRPr="00EB5CF0" w:rsidRDefault="00356E67" w:rsidP="00E16642"/>
    <w:p w:rsidR="00356E67" w:rsidRPr="00EB5CF0" w:rsidRDefault="00356E67" w:rsidP="003E1A0D">
      <w:pPr>
        <w:pStyle w:val="Ttulo2"/>
      </w:pPr>
      <w:bookmarkStart w:id="30" w:name="_Toc255805930"/>
      <w:bookmarkStart w:id="31" w:name="_Toc308691489"/>
      <w:r w:rsidRPr="00EB5CF0">
        <w:t>Modelo de Investigación y Posgrado</w:t>
      </w:r>
      <w:bookmarkEnd w:id="30"/>
      <w:bookmarkEnd w:id="31"/>
    </w:p>
    <w:p w:rsidR="00356E67" w:rsidRPr="00EB5CF0" w:rsidRDefault="00356E67" w:rsidP="00E16642"/>
    <w:p w:rsidR="00356E67" w:rsidRPr="00EB5CF0" w:rsidRDefault="00356E67" w:rsidP="00E16642">
      <w:r w:rsidRPr="00EB5CF0">
        <w:t xml:space="preserve">El Modelo de Investigación y Posgrado asegura que tanto la investigación y el posgrado sean los ejes principales del Modelo Educativo, a través de la planeación, organización y gestión así como el seguimiento y la evaluación de los diferentes programas </w:t>
      </w:r>
      <w:sdt>
        <w:sdtPr>
          <w:id w:val="4834337"/>
          <w:citation/>
        </w:sdtPr>
        <w:sdtEndPr/>
        <w:sdtContent>
          <w:r w:rsidR="0072146B" w:rsidRPr="00EB5CF0">
            <w:fldChar w:fldCharType="begin"/>
          </w:r>
          <w:r w:rsidRPr="00EB5CF0">
            <w:instrText xml:space="preserve"> CITATION IPN041 \l 2058  </w:instrText>
          </w:r>
          <w:r w:rsidR="0072146B" w:rsidRPr="00EB5CF0">
            <w:fldChar w:fldCharType="separate"/>
          </w:r>
          <w:r w:rsidRPr="00EB5CF0">
            <w:rPr>
              <w:noProof/>
            </w:rPr>
            <w:t>(IPN, 2004, Cuaderno 18)</w:t>
          </w:r>
          <w:r w:rsidR="0072146B" w:rsidRPr="00EB5CF0">
            <w:fldChar w:fldCharType="end"/>
          </w:r>
        </w:sdtContent>
      </w:sdt>
      <w:r w:rsidRPr="00EB5CF0">
        <w:t xml:space="preserve">. A partir de las Líneas Institucionales de Generación, Formación y Aplicación del Conocimiento se articularán todos los proyectos y programas de investigación </w:t>
      </w:r>
      <w:sdt>
        <w:sdtPr>
          <w:id w:val="16982102"/>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(IPN, 2003, Cuaderno 1)</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lastRenderedPageBreak/>
        <w:t xml:space="preserve">Se ha dividido la integración de la investigación en las Unidades Académicas en tres etapas </w:t>
      </w:r>
      <w:sdt>
        <w:sdtPr>
          <w:id w:val="4834339"/>
          <w:citation/>
        </w:sdtPr>
        <w:sdtEndPr/>
        <w:sdtContent>
          <w:r w:rsidR="0072146B" w:rsidRPr="00EB5CF0">
            <w:fldChar w:fldCharType="begin"/>
          </w:r>
          <w:r w:rsidRPr="00EB5CF0">
            <w:instrText xml:space="preserve"> CITATION IPN041 \l 2058  </w:instrText>
          </w:r>
          <w:r w:rsidR="0072146B" w:rsidRPr="00EB5CF0">
            <w:fldChar w:fldCharType="separate"/>
          </w:r>
          <w:r w:rsidRPr="00EB5CF0">
            <w:rPr>
              <w:noProof/>
            </w:rPr>
            <w:t>(IPN, 2004, Cuaderno 18)</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La primera etapa la dirige la Coordinación General de Posgrado e Investigación junto con cada Unidad Académica y se trata de la planeación estratégica en donde se establecen y analizan a través de un FODA los temas, áreas o campos que serán investigados y así se definan los Programas y Líneas Institucionales de Generación, Formación y Aplicación del conocimiento, que identifican el tema a tratar, los posgrados asociados, los grupos de académicos que serían posibles participantes, los requerimientos de formación de personal académico, pensando en el trabajo interdisciplinario e inter o </w:t>
      </w:r>
      <w:proofErr w:type="spellStart"/>
      <w:r w:rsidRPr="00EB5CF0">
        <w:t>intrainstitucional</w:t>
      </w:r>
      <w:proofErr w:type="spellEnd"/>
      <w:r w:rsidRPr="00EB5CF0">
        <w:t>. Se pretende también fundar el Colegio Académico de Investigación.</w:t>
      </w:r>
    </w:p>
    <w:p w:rsidR="00356E67" w:rsidRPr="00EB5CF0" w:rsidRDefault="00356E67" w:rsidP="00E16642"/>
    <w:p w:rsidR="00356E67" w:rsidRPr="00EB5CF0" w:rsidRDefault="00356E67" w:rsidP="00E16642">
      <w:r w:rsidRPr="00EB5CF0">
        <w:t xml:space="preserve">En la segunda etapa se definirán las etapas o pasos para iniciar las propuestas de cada programa; a través de cumplir con lo establecido en el Programa Estratégico de Investigación y Posgrado, en su segunda tarea (Apoyo y Consolidación); la instrumentación de cada Línea, la conformación de una Red Académica, revisión y rediseño de los programas de posgrado considerando tanto el Modelo Educativo, el de Integración Social y los parámetros del CONACyT, rediseño de la </w:t>
      </w:r>
      <w:proofErr w:type="spellStart"/>
      <w:r w:rsidRPr="00EB5CF0">
        <w:t>currícula</w:t>
      </w:r>
      <w:proofErr w:type="spellEnd"/>
      <w:r w:rsidRPr="00EB5CF0">
        <w:t xml:space="preserve"> de nivel medio superior y superior para que se convierta la investigación en actividad de aprendizaje.</w:t>
      </w:r>
    </w:p>
    <w:p w:rsidR="00356E67" w:rsidRPr="00EB5CF0" w:rsidRDefault="00356E67" w:rsidP="00E16642"/>
    <w:p w:rsidR="00356E67" w:rsidRPr="00EB5CF0" w:rsidRDefault="00356E67" w:rsidP="00E16642">
      <w:r w:rsidRPr="00EB5CF0">
        <w:t xml:space="preserve">Por último, en la tercera etapa será el análisis o evaluación de los avances o metas alcanzadas, para la reformulación de procesos o creación de nuevas líneas y/o posgrados, con acreditación o certificación correspondientes, fortalecimiento del programa de Formación de Jóvenes Investigadores, </w:t>
      </w:r>
    </w:p>
    <w:p w:rsidR="00356E67" w:rsidRPr="00EB5CF0" w:rsidRDefault="00356E67" w:rsidP="00E16642"/>
    <w:p w:rsidR="00356E67" w:rsidRPr="00EB5CF0" w:rsidRDefault="00356E67" w:rsidP="00E16642">
      <w:r w:rsidRPr="00EB5CF0">
        <w:t xml:space="preserve">El Politécnico espera diferentes resultados luego de la integración de la investigación como estrategia de aprendizaje a sus programas algunas que tienen qué ver con el análisis de este documento son: la incorporación temprana de jóvenes al desarrollo de la investigación lo cual resultaría en la renovación de los </w:t>
      </w:r>
      <w:r w:rsidRPr="00EB5CF0">
        <w:lastRenderedPageBreak/>
        <w:t xml:space="preserve">cuadros académicos dedicados a la misma </w:t>
      </w:r>
      <w:sdt>
        <w:sdtPr>
          <w:id w:val="4834335"/>
          <w:citation/>
        </w:sdtPr>
        <w:sdtEndPr/>
        <w:sdtContent>
          <w:r w:rsidR="0072146B" w:rsidRPr="00EB5CF0">
            <w:fldChar w:fldCharType="begin"/>
          </w:r>
          <w:r w:rsidRPr="00EB5CF0">
            <w:instrText xml:space="preserve"> CITATION IPN041 \l 2058  </w:instrText>
          </w:r>
          <w:r w:rsidR="0072146B" w:rsidRPr="00EB5CF0">
            <w:fldChar w:fldCharType="separate"/>
          </w:r>
          <w:r w:rsidRPr="00EB5CF0">
            <w:rPr>
              <w:noProof/>
            </w:rPr>
            <w:t>(IPN, 2004, Cuaderno 18)</w:t>
          </w:r>
          <w:r w:rsidR="0072146B" w:rsidRPr="00EB5CF0">
            <w:fldChar w:fldCharType="end"/>
          </w:r>
        </w:sdtContent>
      </w:sdt>
      <w:r w:rsidRPr="00EB5CF0">
        <w:t xml:space="preserve"> ello resolvería la cuestión analizada al 2004 sobre que el Instituto contaba con 14,615 profesores con una edad promedio de 52 años, de los cuales </w:t>
      </w:r>
      <w:r w:rsidR="00AB32CA">
        <w:t>solo</w:t>
      </w:r>
      <w:r w:rsidRPr="00EB5CF0">
        <w:t xml:space="preserve"> 2,459 académicos realizan actividades de investigación y 13,886 participaron en el 2001 en actividades de actualización docente</w:t>
      </w:r>
      <w:sdt>
        <w:sdtPr>
          <w:id w:val="798952"/>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 xml:space="preserve"> (IPN, 2003, Cuaderno 1)</w:t>
          </w:r>
          <w:r w:rsidR="0072146B" w:rsidRPr="00EB5CF0">
            <w:fldChar w:fldCharType="end"/>
          </w:r>
        </w:sdtContent>
      </w:sdt>
      <w:r w:rsidRPr="00EB5CF0">
        <w:t>. La mejora de los esquemas de cooperación de las Unidades Académicas y con otras instituciones a nivel nacional e internacional, reiterando su internacionalización (reconocimiento internacional).</w:t>
      </w:r>
    </w:p>
    <w:p w:rsidR="00356E67" w:rsidRPr="00EB5CF0" w:rsidRDefault="00356E67" w:rsidP="00E16642"/>
    <w:p w:rsidR="00356E67" w:rsidRPr="00EB5CF0" w:rsidRDefault="00356E67" w:rsidP="00E16642">
      <w:r w:rsidRPr="00EB5CF0">
        <w:t>El siguiente apartado dará atención especial a la relación investigación-docencia que ha permeado todo el trabajo de la Reforma Académica.</w:t>
      </w:r>
    </w:p>
    <w:p w:rsidR="00356E67" w:rsidRPr="00EB5CF0" w:rsidRDefault="00356E67" w:rsidP="00E16642"/>
    <w:p w:rsidR="00366FC1" w:rsidRDefault="00366FC1" w:rsidP="00E16642">
      <w:pPr>
        <w:rPr>
          <w:b/>
        </w:rPr>
      </w:pPr>
      <w:bookmarkStart w:id="32" w:name="_Toc255805931"/>
    </w:p>
    <w:p w:rsidR="00356E67" w:rsidRPr="00E268C6" w:rsidRDefault="00356E67" w:rsidP="00E16642">
      <w:pPr>
        <w:rPr>
          <w:b/>
        </w:rPr>
      </w:pPr>
      <w:r w:rsidRPr="00E268C6">
        <w:rPr>
          <w:b/>
        </w:rPr>
        <w:t>Investigación y docencia</w:t>
      </w:r>
      <w:bookmarkEnd w:id="32"/>
    </w:p>
    <w:p w:rsidR="00356E67" w:rsidRPr="00EB5CF0" w:rsidRDefault="00356E67" w:rsidP="00E16642"/>
    <w:p w:rsidR="00356E67" w:rsidRPr="00EB5CF0" w:rsidRDefault="00356E67" w:rsidP="00E16642">
      <w:r w:rsidRPr="00EB5CF0">
        <w:t xml:space="preserve">La investigación y el posgrado son reconocidos como elementos básicos de la Reforma Académica, son el conducto a través del cual investigadores, docentes y estudiantes, generan y transmiten conocimientos, forman recursos humanos de alto nivel desarrollando proyectos de investigación </w:t>
      </w:r>
      <w:sdt>
        <w:sdtPr>
          <w:id w:val="16982104"/>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(IPN, 2004, Cuaderno 4)</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 xml:space="preserve">De manera específica, la investigación además de crear o formular nuevo conocimiento tanto científico como tecnológico es una actividad apta para permear la docencia en todos los niveles educativos, se convierte en un medio para el aprendizaje </w:t>
      </w:r>
      <w:sdt>
        <w:sdtPr>
          <w:id w:val="16982105"/>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(IPN, 2003, Cuaderno 1)</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Lo anterior también derivado de la Declaratoria de la UNESCO, en la que en el artículo seis se habla de la investigación como medio para fortalecer el sistema educativo y da importancia al a formación docente </w:t>
      </w:r>
      <w:sdt>
        <w:sdtPr>
          <w:id w:val="946040"/>
          <w:citation/>
        </w:sdtPr>
        <w:sdtEndPr/>
        <w:sdtContent>
          <w:r w:rsidR="0072146B" w:rsidRPr="00EB5CF0">
            <w:fldChar w:fldCharType="begin"/>
          </w:r>
          <w:r w:rsidRPr="00EB5CF0">
            <w:instrText xml:space="preserve"> CITATION UNE98 \l 2058 </w:instrText>
          </w:r>
          <w:r w:rsidR="0072146B" w:rsidRPr="00EB5CF0">
            <w:fldChar w:fldCharType="separate"/>
          </w:r>
          <w:r w:rsidRPr="00EB5CF0">
            <w:rPr>
              <w:noProof/>
            </w:rPr>
            <w:t>(UNESCO, 1998)</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Para  la formación, mejora y actualización de los docentes, el posgrado será en donde se cumplan estas funciones</w:t>
      </w:r>
      <w:sdt>
        <w:sdtPr>
          <w:id w:val="17205532"/>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 xml:space="preserve"> (IPN, 2003, Cuaderno 1)</w:t>
          </w:r>
          <w:r w:rsidR="0072146B" w:rsidRPr="00EB5CF0">
            <w:fldChar w:fldCharType="end"/>
          </w:r>
        </w:sdtContent>
      </w:sdt>
      <w:r w:rsidRPr="00EB5CF0">
        <w:t xml:space="preserve">. Desde 1964 el </w:t>
      </w:r>
      <w:r w:rsidRPr="00EB5CF0">
        <w:lastRenderedPageBreak/>
        <w:t xml:space="preserve">Patronato para el Fomento de las Actividades de Alta Especialización docente instauró un programa de becas para maestrías y doctorados como parte de los programas de profesionalización y desarrollo de personal docente del IPN. En 1996 con la creación del Sistema Institucional de Ciencia y Tecnología, se estableció el Programa de Contratación de Personal Académico de Excelencia el cual dirigía la incorporación de personal con capacidades de desarrollar investigación en el Instituto, tuvo resultados favorables reflejados en el incremento del número de investigadores pertenecientes al SNI: en 1984 participaban </w:t>
      </w:r>
      <w:r w:rsidR="00AB32CA">
        <w:t>solo</w:t>
      </w:r>
      <w:r w:rsidRPr="00EB5CF0">
        <w:t xml:space="preserve"> 36 y en 1996 el número creció a 171, para el 2002 se contabilizaban 296 investigadores SNI. Algunas otras estrategias que coadyuvarán en la mejora de la calidad de los docentes es la formación de ellos a nivel doctoral y su consecuente reconocimiento en el SNI ya que al año 2002 </w:t>
      </w:r>
      <w:r w:rsidR="00AB32CA">
        <w:t>solo</w:t>
      </w:r>
      <w:r w:rsidRPr="00EB5CF0">
        <w:t xml:space="preserve"> el 59% de los académicos que poseían tal grado también eran miembros de tal sistema, y la integración con el CONACyT en los programas de repatriación</w:t>
      </w:r>
      <w:sdt>
        <w:sdtPr>
          <w:id w:val="946036"/>
          <w:citation/>
        </w:sdtPr>
        <w:sdtEndPr/>
        <w:sdtContent>
          <w:r w:rsidR="0072146B" w:rsidRPr="00EB5CF0">
            <w:fldChar w:fldCharType="begin"/>
          </w:r>
          <w:r w:rsidRPr="00EB5CF0">
            <w:instrText xml:space="preserve"> CITATION IPNo4 \l 2058 </w:instrText>
          </w:r>
          <w:r w:rsidR="0072146B" w:rsidRPr="00EB5CF0">
            <w:fldChar w:fldCharType="separate"/>
          </w:r>
          <w:r w:rsidRPr="00EB5CF0">
            <w:rPr>
              <w:noProof/>
            </w:rPr>
            <w:t xml:space="preserve"> (IPN, 2004, Cuaderno 4)</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Es importante señalar que entre las funciones del personal académico que establece la Ley Orgánica del IPN y el Reglamento de Trabajo del Personal Académico</w:t>
      </w:r>
      <w:sdt>
        <w:sdtPr>
          <w:id w:val="1151561"/>
          <w:citation/>
        </w:sdtPr>
        <w:sdtEndPr/>
        <w:sdtContent>
          <w:r w:rsidR="00B20C48">
            <w:fldChar w:fldCharType="begin"/>
          </w:r>
          <w:r w:rsidR="00B20C48">
            <w:instrText xml:space="preserve"> CITATION IPN88 \l 3082 </w:instrText>
          </w:r>
          <w:r w:rsidR="00B20C48">
            <w:fldChar w:fldCharType="separate"/>
          </w:r>
          <w:r w:rsidRPr="00EB5CF0">
            <w:rPr>
              <w:noProof/>
            </w:rPr>
            <w:t xml:space="preserve"> (IPN, 1988)</w:t>
          </w:r>
          <w:r w:rsidR="00B20C48">
            <w:rPr>
              <w:noProof/>
            </w:rPr>
            <w:fldChar w:fldCharType="end"/>
          </w:r>
        </w:sdtContent>
      </w:sdt>
      <w:r w:rsidRPr="00EB5CF0">
        <w:t xml:space="preserve"> se puntualizan algunas que se apuntalan con la obtención del grado por parte de los académicos como la  misma docencia, la atención a alumnos, la investigación científica, tecnológica o educativa, el desarrollo tecnológico de apoyo a la enseñanza e investigación; la difusión de la cultura de avances tecnológicos y científicos o las actividades complementarias a la docencia y a la investigación, relacionadas con los programas académicos o también la revisión de tesis o de prácticas profesionales.</w:t>
      </w:r>
    </w:p>
    <w:p w:rsidR="00356E67" w:rsidRPr="00EB5CF0" w:rsidRDefault="00356E67" w:rsidP="00E16642"/>
    <w:p w:rsidR="00356E67" w:rsidRPr="00EB5CF0" w:rsidRDefault="00356E67" w:rsidP="00E16642">
      <w:r w:rsidRPr="00EB5CF0">
        <w:t>Debido al papel que ahora tiene el posgrado es necesario rediseñar el Programa de Formación y Actualización del Personal Docente para que se utilice a la investigación como estrategia de formación, entre algunos otros cambios en la perspectiva enseñanza-aprendizaje como la incorporación de solución de problemas como estrategia de formación, fomento de la creatividad y la capacidad emprendedora, desarrollo de valores, etc.</w:t>
      </w:r>
      <w:sdt>
        <w:sdtPr>
          <w:id w:val="16982108"/>
          <w:citation/>
        </w:sdtPr>
        <w:sdtEndPr/>
        <w:sdtContent>
          <w:r w:rsidR="0072146B" w:rsidRPr="00EB5CF0">
            <w:fldChar w:fldCharType="begin"/>
          </w:r>
          <w:r w:rsidRPr="00EB5CF0">
            <w:instrText xml:space="preserve"> CITATION IPN04 \l 2058 </w:instrText>
          </w:r>
          <w:r w:rsidR="0072146B" w:rsidRPr="00EB5CF0">
            <w:fldChar w:fldCharType="separate"/>
          </w:r>
          <w:r w:rsidRPr="00EB5CF0">
            <w:rPr>
              <w:noProof/>
            </w:rPr>
            <w:t xml:space="preserve"> (IPN, 2003, Cuaderno 1)</w:t>
          </w:r>
          <w:r w:rsidR="0072146B" w:rsidRPr="00EB5CF0">
            <w:fldChar w:fldCharType="end"/>
          </w:r>
        </w:sdtContent>
      </w:sdt>
      <w:r w:rsidRPr="00EB5CF0">
        <w:t xml:space="preserve">. La propuesta </w:t>
      </w:r>
      <w:r w:rsidRPr="00EB5CF0">
        <w:lastRenderedPageBreak/>
        <w:t xml:space="preserve">incluye tácticas para fortalecer los programas internos y aprovechar los programas de otras instituciones por ejemplo, el </w:t>
      </w:r>
      <w:proofErr w:type="spellStart"/>
      <w:r w:rsidRPr="00EB5CF0">
        <w:t>CONCAyT</w:t>
      </w:r>
      <w:proofErr w:type="spellEnd"/>
      <w:r w:rsidRPr="00EB5CF0">
        <w:t xml:space="preserve">, además promover el programa de contratación de personal académico de excelencia, intensificar la colaboración inter e </w:t>
      </w:r>
      <w:proofErr w:type="spellStart"/>
      <w:r w:rsidRPr="00EB5CF0">
        <w:t>intrainstitucional</w:t>
      </w:r>
      <w:proofErr w:type="spellEnd"/>
      <w:r w:rsidRPr="00EB5CF0">
        <w:t xml:space="preserve"> y reconfigurar de una manera más atractiva la carrera académica. Eliminar la idea errónea de que basta con que el docente posea los conocimientos necesarios para realizar investigación sin que la realice</w:t>
      </w:r>
      <w:r w:rsidRPr="00EB5CF0">
        <w:rPr>
          <w:rStyle w:val="Refdenotaalpie"/>
          <w:rFonts w:cs="Arial"/>
          <w:szCs w:val="24"/>
        </w:rPr>
        <w:footnoteReference w:id="18"/>
      </w:r>
      <w:r w:rsidRPr="00EB5CF0">
        <w:t xml:space="preserve">. </w:t>
      </w:r>
    </w:p>
    <w:p w:rsidR="00356E67" w:rsidRPr="00EB5CF0" w:rsidRDefault="00356E67" w:rsidP="00E16642"/>
    <w:p w:rsidR="00356E67" w:rsidRPr="00EB5CF0" w:rsidRDefault="00356E67" w:rsidP="00E16642">
      <w:r w:rsidRPr="00EB5CF0">
        <w:t>Debido a la importancia que adquiere el posgrado se estableció que la mayoría de los programas de este nivel en el Politécnico (90%) debían estar reconocidos ya fuera nacional o internacionalmente.</w:t>
      </w:r>
    </w:p>
    <w:p w:rsidR="00356E67" w:rsidRPr="00EB5CF0" w:rsidRDefault="00356E67" w:rsidP="00E16642"/>
    <w:p w:rsidR="00356E67" w:rsidRPr="00EB5CF0" w:rsidRDefault="00356E67" w:rsidP="00E16642">
      <w:r w:rsidRPr="00EB5CF0">
        <w:t>Los programas se modificarán según sea el desarrollo que se tiene planeado de la investigación del IPN, se establecerá una referente ideal de la investigación reflejado en las Líneas Institucionales y a partir de allí se identificarán los programas que reflejen la fortaleza institucional, los que coincidan con la misión y visión del Instituto aunque no sean parte de la fortaleza, los programas faltantes que atenderían las necesidades nacionales y los programas que no cumplen con ninguno de los requisitos anteriores. Así se reforzarán, reorientarán, cerrarán, fusionarán o crearán nuevos programas de posgrado</w:t>
      </w:r>
      <w:sdt>
        <w:sdtPr>
          <w:id w:val="946055"/>
          <w:citation/>
        </w:sdtPr>
        <w:sdtEndPr/>
        <w:sdtContent>
          <w:r w:rsidR="0072146B" w:rsidRPr="00EB5CF0">
            <w:fldChar w:fldCharType="begin"/>
          </w:r>
          <w:r w:rsidRPr="00EB5CF0">
            <w:instrText xml:space="preserve"> CITATION IPN041 \l 2058  \m Sec091</w:instrText>
          </w:r>
          <w:r w:rsidR="0072146B" w:rsidRPr="00EB5CF0">
            <w:fldChar w:fldCharType="separate"/>
          </w:r>
          <w:r w:rsidRPr="00EB5CF0">
            <w:rPr>
              <w:noProof/>
            </w:rPr>
            <w:t xml:space="preserve"> (IPN, 2004, Cuaderno 18; SIP IPN, 2009b)</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Asimismo todo posgrado (de investigación y/o ingeniería, o profesionalizante) será identificado con el tipo de investigación que sustenta total o parcialmente, la básica, la aplicada o la de desarrollo experimental para ratificar o depurar los que sean congruentes con las Líneas Institucionales de Generación, Formación Aplicación del Conocimiento. En los programas que cubran los requisitos mencionados se nombrará a los académicos o grupos de investigación como responsables de cada uno y la contribución que deberá tener en el desarrollo de los niveles medio superior y superior, las actividades de vinculación y los requerimientos del personal académico para su desarrollo y operación. Se recalca </w:t>
      </w:r>
      <w:r w:rsidRPr="00EB5CF0">
        <w:lastRenderedPageBreak/>
        <w:t xml:space="preserve">la idea del papel en el desarrollo ya que serán ubicados los programas en donde se atienda  estudiantes y profesores para contribuir a la formación de personal que requiere los Modelos de la Reforma Académica. </w:t>
      </w:r>
    </w:p>
    <w:bookmarkEnd w:id="20"/>
    <w:p w:rsidR="00356E67" w:rsidRPr="00EB5CF0" w:rsidRDefault="00356E67" w:rsidP="00E16642"/>
    <w:p w:rsidR="004945A5" w:rsidRDefault="00356E67" w:rsidP="00E16642">
      <w:r w:rsidRPr="00EB5CF0">
        <w:t xml:space="preserve">Es en este marco en el que el programa de Metodología de la Ciencia con la orientación que se le dio en los últimos cursos, orientación en Ciencia, tiene un papel especial dentro del Programa Estratégico de Investigación y Posgrado del Modelo Educativo del IPN, en la unidad de Apoyo y Consolidación como parte del Modelo para Investigación y Posgrado coadyuvando en la formación y actualización de académicos dirigidos al desarrollo de investigación en su misma disciplina, a partir de la reflexión metodológica asegurando productos científicos, esto no implica que </w:t>
      </w:r>
      <w:r w:rsidR="00AB32CA">
        <w:t>solo</w:t>
      </w:r>
      <w:r w:rsidRPr="00EB5CF0">
        <w:t xml:space="preserve"> se dirija el programa a profesores del IPN, porque la demanda de este tipo de estudios no es </w:t>
      </w:r>
      <w:r w:rsidR="00AB32CA">
        <w:t>solo</w:t>
      </w:r>
      <w:r w:rsidRPr="00EB5CF0">
        <w:t xml:space="preserve"> de esta institución sino de casi todos los programas de nivel superior en el país.</w:t>
      </w:r>
    </w:p>
    <w:p w:rsidR="004945A5" w:rsidRDefault="004945A5" w:rsidP="00E16642">
      <w:pPr>
        <w:sectPr w:rsidR="004945A5" w:rsidSect="0085400D">
          <w:headerReference w:type="default" r:id="rId18"/>
          <w:pgSz w:w="12240" w:h="15840" w:code="1"/>
          <w:pgMar w:top="1418" w:right="1701" w:bottom="1418" w:left="1701" w:header="709" w:footer="709" w:gutter="0"/>
          <w:cols w:space="708"/>
          <w:docGrid w:linePitch="360"/>
        </w:sectPr>
      </w:pPr>
    </w:p>
    <w:p w:rsidR="001C3F30" w:rsidRPr="001C3F30" w:rsidRDefault="001C3F30" w:rsidP="00E16642">
      <w:pPr>
        <w:jc w:val="center"/>
        <w:rPr>
          <w:b/>
        </w:rPr>
      </w:pPr>
      <w:r w:rsidRPr="001C3F30">
        <w:rPr>
          <w:b/>
        </w:rPr>
        <w:lastRenderedPageBreak/>
        <w:t>CAPÍTULO 3</w:t>
      </w:r>
    </w:p>
    <w:p w:rsidR="00356E67" w:rsidRPr="00436C36" w:rsidRDefault="00436C36" w:rsidP="00E16642">
      <w:pPr>
        <w:pStyle w:val="Ttulo1"/>
      </w:pPr>
      <w:bookmarkStart w:id="33" w:name="_Toc308691490"/>
      <w:r w:rsidRPr="00436C36">
        <w:t xml:space="preserve">Consejo Nacional </w:t>
      </w:r>
      <w:r>
        <w:t>d</w:t>
      </w:r>
      <w:r w:rsidRPr="00436C36">
        <w:t xml:space="preserve">e Ciencia </w:t>
      </w:r>
      <w:r>
        <w:t>y</w:t>
      </w:r>
      <w:r w:rsidRPr="00436C36">
        <w:t xml:space="preserve"> Tecnología</w:t>
      </w:r>
      <w:bookmarkEnd w:id="33"/>
    </w:p>
    <w:p w:rsidR="00356E67" w:rsidRPr="00EB5CF0" w:rsidRDefault="00356E67" w:rsidP="00E16642"/>
    <w:p w:rsidR="00356E67" w:rsidRPr="00EB5CF0" w:rsidRDefault="00356E67" w:rsidP="00E16642">
      <w:r w:rsidRPr="00EB5CF0">
        <w:t>El sistema educativo está supeditado, como muchos otros, a políticas de calidad. Los procesos de evaluación educativa impulsan a dicho sistema, además de que permiten proveer un panorama de la mejora en la calidad y del beneficio que la sociedad recibe al invertir recursos en los diferentes niveles de enseñanza</w:t>
      </w:r>
      <w:sdt>
        <w:sdtPr>
          <w:id w:val="22253262"/>
          <w:citation/>
        </w:sdtPr>
        <w:sdtEndPr/>
        <w:sdtContent>
          <w:r w:rsidR="0072146B" w:rsidRPr="00EB5CF0">
            <w:fldChar w:fldCharType="begin"/>
          </w:r>
          <w:r w:rsidRPr="00EB5CF0">
            <w:instrText xml:space="preserve"> CITATION Est \l 2058  </w:instrText>
          </w:r>
          <w:r w:rsidR="0072146B" w:rsidRPr="00EB5CF0">
            <w:fldChar w:fldCharType="separate"/>
          </w:r>
          <w:r w:rsidRPr="00EB5CF0">
            <w:rPr>
              <w:noProof/>
            </w:rPr>
            <w:t xml:space="preserve"> (COMEPO, 2007a)</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En México, algunas de las cuestiones que han impulsado la decisión de la evaluación educativa son la necesidad de integración tanto nacional como internacional de los sistemas universitarios, de movilidad estudiantil y de cooperación </w:t>
      </w:r>
      <w:proofErr w:type="spellStart"/>
      <w:r w:rsidRPr="00EB5CF0">
        <w:t>intra</w:t>
      </w:r>
      <w:proofErr w:type="spellEnd"/>
      <w:r w:rsidRPr="00EB5CF0">
        <w:t>-universitaria. Sin embargo, es necesario aclarar que no se trata de minimizar el sistema a un estatus cuadrado o cerrado sino de potenciar sus virtudes. El posgrado, en particular, necesita demostrar su rendimiento científico y académico.</w:t>
      </w:r>
    </w:p>
    <w:p w:rsidR="00356E67" w:rsidRPr="00EB5CF0" w:rsidRDefault="00356E67" w:rsidP="00E16642"/>
    <w:p w:rsidR="00356E67" w:rsidRPr="00EB5CF0" w:rsidRDefault="00356E67" w:rsidP="00E16642">
      <w:r w:rsidRPr="00EB5CF0">
        <w:t xml:space="preserve">La calidad de los programas de posgrado en México es avalada por el Consejo Nacional de Ciencia y Tecnología. El CONACyT fue creado en 1970 por disposición del H. Congreso de la Unión, es un organismo público descentralizado del Estado, aunque forma parte del sector educativo gubernamental; es responsable de elaborar las políticas de ciencia y tecnología en México, actualmente las acciones realizadas a través de este Consejo siguen los parámetros presentados en la Ley de Ciencia y tecnología promulgada en 2002 </w:t>
      </w:r>
      <w:sdt>
        <w:sdtPr>
          <w:id w:val="1229931"/>
          <w:citation/>
        </w:sdtPr>
        <w:sdtEndPr/>
        <w:sdtContent>
          <w:r w:rsidR="0072146B" w:rsidRPr="00EB5CF0">
            <w:fldChar w:fldCharType="begin"/>
          </w:r>
          <w:r w:rsidRPr="00EB5CF0">
            <w:instrText xml:space="preserve"> CITATION CON09 \l 2058  </w:instrText>
          </w:r>
          <w:r w:rsidR="0072146B" w:rsidRPr="00EB5CF0">
            <w:fldChar w:fldCharType="separate"/>
          </w:r>
          <w:r w:rsidRPr="00EB5CF0">
            <w:rPr>
              <w:noProof/>
            </w:rPr>
            <w:t>(CONACyT, 2009a)</w:t>
          </w:r>
          <w:r w:rsidR="0072146B" w:rsidRPr="00EB5CF0">
            <w:fldChar w:fldCharType="end"/>
          </w:r>
        </w:sdtContent>
      </w:sdt>
      <w:r w:rsidRPr="00EB5CF0">
        <w:t xml:space="preserve">. Con la creación de este Consejo, el posgrado y su consecuente producto: la investigación, fueron reconocidos y tuvieron apoyo del gobierno mexicano </w:t>
      </w:r>
      <w:sdt>
        <w:sdtPr>
          <w:id w:val="3159422"/>
          <w:citation/>
        </w:sdtPr>
        <w:sdtEndPr/>
        <w:sdtContent>
          <w:r w:rsidR="0072146B" w:rsidRPr="00EB5CF0">
            <w:fldChar w:fldCharType="begin"/>
          </w:r>
          <w:r w:rsidRPr="00EB5CF0">
            <w:instrText xml:space="preserve"> CITATION Alc95 \l 2058 </w:instrText>
          </w:r>
          <w:r w:rsidR="0072146B" w:rsidRPr="00EB5CF0">
            <w:fldChar w:fldCharType="separate"/>
          </w:r>
          <w:r w:rsidRPr="00EB5CF0">
            <w:rPr>
              <w:noProof/>
            </w:rPr>
            <w:t>(Alcántara Santuario, 1995)</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El CONACyT tiene como meta la consolidación de un Sistema Nacional de Ciencia y Tecnología para elevar el nivel de vida y el bienestar de la población, a través del fomento del desarrollo científico y tecnológico del país por medio de </w:t>
      </w:r>
      <w:r w:rsidRPr="00EB5CF0">
        <w:lastRenderedPageBreak/>
        <w:t>investigación científica de calidad y la vinculación entre la academia y los procesos productivos. Cualquier programa, por ejemplo el que es objeto de estudio de este trabajo, la Maestría en Ciencias en Metodología de la Ciencia, deberá adscribirse a los criterios que el CONACyT establece para asegurar su calidad.</w:t>
      </w:r>
    </w:p>
    <w:p w:rsidR="00356E67" w:rsidRPr="00EB5CF0" w:rsidRDefault="00356E67" w:rsidP="00E16642"/>
    <w:p w:rsidR="00356E67" w:rsidRPr="00EB5CF0" w:rsidRDefault="00356E67" w:rsidP="00E16642">
      <w:r w:rsidRPr="00EB5CF0">
        <w:t>En este capítulo se realiza una breve reseña del avance que se ha tenido en México en cuanto a la evaluación de los posgrados, primero se mencionan las acciones realizadas y los organismos creados para dicho propósito antes de 1991, que aún sustentados legalmente, no tuvieron el impacto requerido para elevar la calidad del posgrado. Después se trata el desarrollo, dentro del CONACyT, de estrategias que además de evaluar a los posgrados, cuentan con programas de ayuda o apoyo para su mejora</w:t>
      </w:r>
      <w:r w:rsidR="003F6DF8">
        <w:t>. S</w:t>
      </w:r>
      <w:r w:rsidRPr="00EB5CF0">
        <w:t xml:space="preserve">e resalta el hecho de que las acciones en un inicio </w:t>
      </w:r>
      <w:r w:rsidR="00AB32CA">
        <w:t>solo</w:t>
      </w:r>
      <w:r w:rsidRPr="00EB5CF0">
        <w:t xml:space="preserve"> tomaban en cuenta programas de posgrado c</w:t>
      </w:r>
      <w:r w:rsidR="003F6DF8">
        <w:t>on orientación de investigación,</w:t>
      </w:r>
      <w:r w:rsidRPr="00EB5CF0">
        <w:t xml:space="preserve"> se describe el Padrón</w:t>
      </w:r>
      <w:r w:rsidR="00E33B3C">
        <w:t xml:space="preserve"> de</w:t>
      </w:r>
      <w:r w:rsidRPr="00EB5CF0">
        <w:t xml:space="preserve"> Posgrados de Excelencia (PE); el Programa de Fortalecimiento del Posgrado Nacional (PFPN) en el que se incluye el Programa Nacional de Posgrados (PNP) y el Programa Integral de Fortalecimiento al Posgrado (PIFOP); y por último el Programa Nacional de Posgrados de Calidad (PNPC) que integra el Padrón Nacional de Posgrado (PNP) y el Programa de Fomento a la Calidad (PFC). </w:t>
      </w:r>
    </w:p>
    <w:p w:rsidR="00356E67" w:rsidRPr="00EB5CF0" w:rsidRDefault="00356E67" w:rsidP="00E16642"/>
    <w:p w:rsidR="00356E67" w:rsidRPr="00EB5CF0" w:rsidRDefault="00356E67" w:rsidP="00E16642">
      <w:r w:rsidRPr="00EB5CF0">
        <w:t>Uno de los puntos críticos dentro del CONACyT es el establecimiento de criterios o indicadores para la evaluación de los posgrados, en general se han hecho varias revisiones al proceso que ha establecido, incluso a la fecha sigue habiendo críticas por la inexactitud de algunos puntos, a partir de la revisión de diferentes documentos, se presenta una primera propuesta para esclarecer por lo menos las diferencias entre los criterios a evaluar de acuerdo a la orientación de los programas, este es punto central de este capítulo.</w:t>
      </w:r>
    </w:p>
    <w:p w:rsidR="00356E67" w:rsidRPr="00EB5CF0" w:rsidRDefault="00356E67" w:rsidP="00E16642"/>
    <w:p w:rsidR="00356E67" w:rsidRPr="00EB5CF0" w:rsidRDefault="00356E67" w:rsidP="00E16642"/>
    <w:p w:rsidR="00AA0575" w:rsidRDefault="00AA0575" w:rsidP="00E16642">
      <w:pPr>
        <w:spacing w:after="200"/>
        <w:jc w:val="left"/>
        <w:rPr>
          <w:rFonts w:eastAsiaTheme="majorEastAsia" w:cstheme="majorBidi"/>
          <w:b/>
          <w:bCs/>
          <w:szCs w:val="26"/>
        </w:rPr>
      </w:pPr>
      <w:r>
        <w:br w:type="page"/>
      </w:r>
    </w:p>
    <w:p w:rsidR="00356E67" w:rsidRPr="00EB5CF0" w:rsidRDefault="00436C36" w:rsidP="003E1A0D">
      <w:pPr>
        <w:pStyle w:val="Ttulo2"/>
      </w:pPr>
      <w:bookmarkStart w:id="34" w:name="_Toc308691491"/>
      <w:r w:rsidRPr="00EB5CF0">
        <w:lastRenderedPageBreak/>
        <w:t>Antecedentes de las evaluaciones a los programas de posgrado</w:t>
      </w:r>
      <w:bookmarkEnd w:id="34"/>
    </w:p>
    <w:p w:rsidR="00356E67" w:rsidRPr="00EB5CF0" w:rsidRDefault="00356E67" w:rsidP="00E16642"/>
    <w:p w:rsidR="00356E67" w:rsidRPr="00EB5CF0" w:rsidRDefault="00356E67" w:rsidP="00E16642">
      <w:r w:rsidRPr="00EB5CF0">
        <w:t xml:space="preserve">A partir de la década de los noventa inició como tal, el proceso de mejora de la calidad y excelencia de los posgrados, representando un gran avance al trabajo realizado en décadas anteriores, el cual nunca tuvo seguimiento por parte de las diferentes autoridades (véase </w:t>
      </w:r>
      <w:r w:rsidRPr="00EB5CF0">
        <w:rPr>
          <w:noProof/>
        </w:rPr>
        <w:t xml:space="preserve">Mireles, 2008). A continuación se mencionan algunas de dichas acciones, tanto las gubernamentales </w:t>
      </w:r>
      <w:r w:rsidRPr="00EB5CF0">
        <w:t xml:space="preserve">como las realizadas desde las mismas instituciones </w:t>
      </w:r>
      <w:sdt>
        <w:sdtPr>
          <w:id w:val="3159429"/>
          <w:citation/>
        </w:sdtPr>
        <w:sdtEndPr/>
        <w:sdtContent>
          <w:r w:rsidR="0072146B" w:rsidRPr="00EB5CF0">
            <w:fldChar w:fldCharType="begin"/>
          </w:r>
          <w:r w:rsidRPr="00EB5CF0">
            <w:instrText xml:space="preserve"> CITATION Alc95 \l 2058 </w:instrText>
          </w:r>
          <w:r w:rsidR="0072146B" w:rsidRPr="00EB5CF0">
            <w:fldChar w:fldCharType="separate"/>
          </w:r>
          <w:r w:rsidRPr="00EB5CF0">
            <w:rPr>
              <w:noProof/>
            </w:rPr>
            <w:t>(Alcántara Santuario, 1995)</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El Plan Nacional Indicativo de Ciencia y Tecnología se presentó al final del sexenio del presidente Luis Echeverría en 1976, fue elaborado por 300 miembros de la comunidad científica y tecnológica, el sector privado y algunas universidades; en él se planteaba “la consecución de un desarrollo científico no imitativo, la autonomía cultural y la autodeterminación tecnológica”, sin embargo, esas recomendaciones no se siguieron en el nuevo sexenio presidencial.</w:t>
      </w:r>
    </w:p>
    <w:p w:rsidR="00356E67" w:rsidRPr="00EB5CF0" w:rsidRDefault="00356E67" w:rsidP="00E16642"/>
    <w:p w:rsidR="00356E67" w:rsidRPr="00EB5CF0" w:rsidRDefault="00356E67" w:rsidP="00E16642">
      <w:r w:rsidRPr="00EB5CF0">
        <w:t xml:space="preserve">Por el contrario, se propuso el Programa Nacional de Ciencia y Tecnología (1978-1982) bajo la responsabilidad del CONACyT, el cual propone también la autodeterminación científica y tecnológica. En este plan se elaboraron programas y proyectos específicos y se estimaron costos y periodos de realización de cada uno; todos pusieron énfasis en la capacitación y formación de recursos humanos. </w:t>
      </w:r>
    </w:p>
    <w:p w:rsidR="00356E67" w:rsidRPr="00EB5CF0" w:rsidRDefault="00356E67" w:rsidP="00E16642"/>
    <w:p w:rsidR="00356E67" w:rsidRPr="00EB5CF0" w:rsidRDefault="00356E67" w:rsidP="00E16642">
      <w:r w:rsidRPr="00EB5CF0">
        <w:t>Por ejemplo, en 1978 la Secretaría de Educación Pública creó la Coordinación Nacional para la Planeación de la Educación Superior (CONPES). Por otro lado, el Grupo de Estudios para el Financiamiento a la Educación (GEFE)</w:t>
      </w:r>
      <w:r w:rsidRPr="00EB5CF0">
        <w:rPr>
          <w:rStyle w:val="Refdenotaalpie"/>
          <w:rFonts w:cs="Arial"/>
          <w:szCs w:val="24"/>
        </w:rPr>
        <w:footnoteReference w:id="19"/>
      </w:r>
      <w:r w:rsidRPr="00EB5CF0">
        <w:t xml:space="preserve"> en 1981, realizó trabajos de diagnóstico y planeación del posgrado, creando un texto es titulado </w:t>
      </w:r>
      <w:r w:rsidRPr="00EB5CF0">
        <w:rPr>
          <w:i/>
        </w:rPr>
        <w:t>Prospectiva del Posgrado 1980-2000</w:t>
      </w:r>
      <w:r w:rsidRPr="00EB5CF0">
        <w:rPr>
          <w:rStyle w:val="Refdenotaalpie"/>
          <w:rFonts w:cs="Arial"/>
          <w:i/>
          <w:szCs w:val="24"/>
        </w:rPr>
        <w:footnoteReference w:id="20"/>
      </w:r>
      <w:r w:rsidRPr="00EB5CF0">
        <w:t xml:space="preserve"> </w:t>
      </w:r>
      <w:sdt>
        <w:sdtPr>
          <w:id w:val="22253284"/>
          <w:citation/>
        </w:sdtPr>
        <w:sdtEndPr/>
        <w:sdtContent>
          <w:r w:rsidR="0072146B" w:rsidRPr="00EB5CF0">
            <w:fldChar w:fldCharType="begin"/>
          </w:r>
          <w:r w:rsidRPr="00EB5CF0">
            <w:instrText xml:space="preserve"> CITATION COM7b \l 2058 </w:instrText>
          </w:r>
          <w:r w:rsidR="0072146B" w:rsidRPr="00EB5CF0">
            <w:fldChar w:fldCharType="separate"/>
          </w:r>
          <w:r w:rsidRPr="00EB5CF0">
            <w:rPr>
              <w:noProof/>
            </w:rPr>
            <w:t>(COMEPO, 2007b)</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lastRenderedPageBreak/>
        <w:t xml:space="preserve">Años más adelante, se elaboró el Programa Nacional de Desarrollo Tecnológico y Científico (1984-1988) dentro del marco de la Ley de Planeación y el Plan Nacional de Desarrollo del gobierno de Miguel de la Madrid (teniendo por primera vez un capítulo especial sobre ciencia y tecnología), el cambio en comparación con los programas de los sexenios anteriores es que no se pretende la autodeterminación científica y tecnológica sino la reducción de la dependencia en esos ámbitos, proponiendo una interdependencia con los países más avanzados tecnológicamente. De este programa se realizaron 36 programas específicos con objetivos a corto plazo, además se estructura el Sistema Nacional de Ciencia y Tecnología con seis subsistemas: investigación, vínculo investigación-producción, vínculo investigación-educación, compromiso social, espacio normativo y de planeación, y sistema de coordinación. </w:t>
      </w:r>
    </w:p>
    <w:p w:rsidR="00356E67" w:rsidRPr="00EB5CF0" w:rsidRDefault="00356E67" w:rsidP="00E16642"/>
    <w:p w:rsidR="00356E67" w:rsidRPr="00EB5CF0" w:rsidRDefault="00356E67" w:rsidP="00E16642">
      <w:r w:rsidRPr="00EB5CF0">
        <w:t xml:space="preserve">También, para impulsar la investigación en el país, el CONACyT estableció en 1984, el Sistema Nacional de Investigadores (SNI), y en ese mismo año se realizaron diagnósticos acerca de los posgrados en cuanto su infraestructura y su planta académica </w:t>
      </w:r>
      <w:sdt>
        <w:sdtPr>
          <w:id w:val="5009397"/>
          <w:citation/>
        </w:sdtPr>
        <w:sdtEndPr/>
        <w:sdtContent>
          <w:r w:rsidR="0072146B" w:rsidRPr="00EB5CF0">
            <w:fldChar w:fldCharType="begin"/>
          </w:r>
          <w:r w:rsidRPr="00EB5CF0">
            <w:instrText xml:space="preserve"> CITATION CON06 \l 2058 </w:instrText>
          </w:r>
          <w:r w:rsidR="0072146B" w:rsidRPr="00EB5CF0">
            <w:fldChar w:fldCharType="separate"/>
          </w:r>
          <w:r w:rsidRPr="00EB5CF0">
            <w:rPr>
              <w:noProof/>
            </w:rPr>
            <w:t>(CONACyT, 2006)</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Además, al final de la década de los 80’s (1989) la Coordinación Nacional para la Planeación de la Educación Superior (CONPES) creó un organismo en el que trabajaban de manera articulada las autoridades gubernamentales y las de las instituciones de educación superior para llevar a cabo actividades de evaluación: la Comisión Nacional de Evaluación de la Educación Superior (CONAEVA). Dicha Comisión tenía como objetivo impulsar el proceso de evaluación, formular lineamientos generales,</w:t>
      </w:r>
      <w:r w:rsidRPr="00EB5CF0">
        <w:rPr>
          <w:i/>
        </w:rPr>
        <w:t xml:space="preserve"> </w:t>
      </w:r>
      <w:r w:rsidRPr="00EB5CF0">
        <w:t>proponer criterios y estándares de calidad para las funciones y tareas de este nivel educativo, apoyar a diversas instancias responsables de la evaluación</w:t>
      </w:r>
      <w:sdt>
        <w:sdtPr>
          <w:rPr>
            <w:i/>
          </w:rPr>
          <w:id w:val="22253265"/>
          <w:citation/>
        </w:sdtPr>
        <w:sdtEndPr/>
        <w:sdtContent>
          <w:r w:rsidR="0072146B" w:rsidRPr="00EB5CF0">
            <w:rPr>
              <w:i/>
            </w:rPr>
            <w:fldChar w:fldCharType="begin"/>
          </w:r>
          <w:r w:rsidRPr="00EB5CF0">
            <w:rPr>
              <w:i/>
            </w:rPr>
            <w:instrText xml:space="preserve"> CITATION Est \l 2058  </w:instrText>
          </w:r>
          <w:r w:rsidR="0072146B" w:rsidRPr="00EB5CF0">
            <w:rPr>
              <w:i/>
            </w:rPr>
            <w:fldChar w:fldCharType="separate"/>
          </w:r>
          <w:r w:rsidRPr="00EB5CF0">
            <w:rPr>
              <w:i/>
              <w:noProof/>
            </w:rPr>
            <w:t xml:space="preserve"> </w:t>
          </w:r>
          <w:r w:rsidRPr="00EB5CF0">
            <w:rPr>
              <w:noProof/>
            </w:rPr>
            <w:t>(COMEPO, 2007a)</w:t>
          </w:r>
          <w:r w:rsidR="0072146B" w:rsidRPr="00EB5CF0">
            <w:rPr>
              <w:i/>
            </w:rPr>
            <w:fldChar w:fldCharType="end"/>
          </w:r>
        </w:sdtContent>
      </w:sdt>
      <w:r w:rsidRPr="00EB5CF0">
        <w:t>.</w:t>
      </w:r>
    </w:p>
    <w:p w:rsidR="00356E67" w:rsidRPr="00EB5CF0" w:rsidRDefault="00356E67" w:rsidP="00E16642"/>
    <w:p w:rsidR="00356E67" w:rsidRPr="00EB5CF0" w:rsidRDefault="00356E67" w:rsidP="00E16642">
      <w:r w:rsidRPr="00EB5CF0">
        <w:t xml:space="preserve">A partir de la década de los 90’s, el gobierno inició formalmente el proceso de evaluación de la calidad de la educación superior y se establecieron estándares para evaluar las competencias académicas: el Congreso Nacional de Posgrado </w:t>
      </w:r>
      <w:r w:rsidRPr="00EB5CF0">
        <w:lastRenderedPageBreak/>
        <w:t>desde esos años realiza un análisis del Subsistema Nacional de Posgrado. También en 1991 se estableció el Centro Nacional para la Evaluación (</w:t>
      </w:r>
      <w:proofErr w:type="spellStart"/>
      <w:r w:rsidRPr="00EB5CF0">
        <w:t>Ceneval</w:t>
      </w:r>
      <w:proofErr w:type="spellEnd"/>
      <w:r w:rsidRPr="00EB5CF0">
        <w:t>) y los Comités Interinstitucionales para la Evaluación de la Educación Superior (CIEES), los cuales han tenido, un gran impacto entre los tutores-investigadores del posgrado</w:t>
      </w:r>
      <w:sdt>
        <w:sdtPr>
          <w:id w:val="22253285"/>
          <w:citation/>
        </w:sdtPr>
        <w:sdtEndPr/>
        <w:sdtContent>
          <w:r w:rsidR="0072146B" w:rsidRPr="00EB5CF0">
            <w:fldChar w:fldCharType="begin"/>
          </w:r>
          <w:r w:rsidRPr="00EB5CF0">
            <w:instrText xml:space="preserve"> CITATION COM7b \l 2058 </w:instrText>
          </w:r>
          <w:r w:rsidR="0072146B" w:rsidRPr="00EB5CF0">
            <w:fldChar w:fldCharType="separate"/>
          </w:r>
          <w:r w:rsidRPr="00EB5CF0">
            <w:rPr>
              <w:noProof/>
            </w:rPr>
            <w:t xml:space="preserve"> (COMEPO, 2007b)</w:t>
          </w:r>
          <w:r w:rsidR="0072146B" w:rsidRPr="00EB5CF0">
            <w:fldChar w:fldCharType="end"/>
          </w:r>
        </w:sdtContent>
      </w:sdt>
      <w:r w:rsidRPr="00EB5CF0">
        <w:t xml:space="preserve">, aunque las evaluaciones que realizan éstos </w:t>
      </w:r>
      <w:r w:rsidR="00AB32CA">
        <w:t>solo</w:t>
      </w:r>
      <w:r w:rsidRPr="00EB5CF0">
        <w:t xml:space="preserve"> son de manera diagnóstica y no tienen seguimiento o apoyos para mejorar el posgrado.</w:t>
      </w:r>
    </w:p>
    <w:p w:rsidR="00356E67" w:rsidRPr="00EB5CF0" w:rsidRDefault="00356E67" w:rsidP="00E16642"/>
    <w:p w:rsidR="00356E67" w:rsidRPr="00EB5CF0" w:rsidRDefault="00356E67" w:rsidP="00E16642">
      <w:r w:rsidRPr="00EB5CF0">
        <w:t xml:space="preserve">Asimismo se creó el Plan Nacional de Ciencia y Modernización Tecnológica (1990-1994) de acuerdo con los lineamientos y normas de la Ley para Coordinar y Promover el Desarrollo Científico y Tecnológico de 1985, debido a su tinte de modernización se le otorga mayor importancia al desarrollo tecnológico que a la investigación científica. Cabe mencionar que a diferencia de los planes anteriores, la comunidad científica no colaboró en la formulación de éste. Se creó también el Programa para la Modernización Educativa 1990-1994 del cual se desprende el primer Programa Nacional de Posgrado con las siguientes directrices </w:t>
      </w:r>
      <w:sdt>
        <w:sdtPr>
          <w:id w:val="22253266"/>
          <w:citation/>
        </w:sdtPr>
        <w:sdtEndPr/>
        <w:sdtContent>
          <w:r w:rsidR="0072146B" w:rsidRPr="00EB5CF0">
            <w:fldChar w:fldCharType="begin"/>
          </w:r>
          <w:r w:rsidRPr="00EB5CF0">
            <w:instrText xml:space="preserve"> CITATION Est \l 2058  </w:instrText>
          </w:r>
          <w:r w:rsidR="0072146B" w:rsidRPr="00EB5CF0">
            <w:fldChar w:fldCharType="separate"/>
          </w:r>
          <w:r w:rsidRPr="00EB5CF0">
            <w:rPr>
              <w:noProof/>
            </w:rPr>
            <w:t>(COMEPO, 2007a)</w:t>
          </w:r>
          <w:r w:rsidR="0072146B" w:rsidRPr="00EB5CF0">
            <w:fldChar w:fldCharType="end"/>
          </w:r>
        </w:sdtContent>
      </w:sdt>
      <w:r w:rsidRPr="00EB5CF0">
        <w:t>:</w:t>
      </w:r>
    </w:p>
    <w:p w:rsidR="00356E67" w:rsidRPr="00EB5CF0" w:rsidRDefault="00356E67" w:rsidP="00E16642"/>
    <w:p w:rsidR="00356E67" w:rsidRPr="00EB5CF0" w:rsidRDefault="00356E67" w:rsidP="009C1F74">
      <w:pPr>
        <w:ind w:left="708"/>
      </w:pPr>
      <w:r w:rsidRPr="00EB5CF0">
        <w:t>• Definir claramente los objetivos de cada opción de posgrado</w:t>
      </w:r>
    </w:p>
    <w:p w:rsidR="00356E67" w:rsidRPr="00EB5CF0" w:rsidRDefault="00356E67" w:rsidP="009C1F74">
      <w:pPr>
        <w:ind w:left="708"/>
      </w:pPr>
      <w:r w:rsidRPr="00EB5CF0">
        <w:t>• Promover la interacción del alumno de posgrado con equipos interdisciplinarios de trabajo e investigación</w:t>
      </w:r>
    </w:p>
    <w:p w:rsidR="00356E67" w:rsidRPr="00EB5CF0" w:rsidRDefault="00356E67" w:rsidP="009C1F74">
      <w:pPr>
        <w:ind w:left="708"/>
      </w:pPr>
      <w:r w:rsidRPr="00EB5CF0">
        <w:t>• Reiterar la necesidad de que la investigación constituya el eje del posgrado e insistir en la importancia de vincular a la docencia con la investigación y la producción</w:t>
      </w:r>
    </w:p>
    <w:p w:rsidR="00356E67" w:rsidRPr="00EB5CF0" w:rsidRDefault="00356E67" w:rsidP="009C1F74">
      <w:pPr>
        <w:ind w:left="708"/>
      </w:pPr>
      <w:r w:rsidRPr="00EB5CF0">
        <w:t>• Revisar la estructura jurídica que sustente normativamente la transformación cualitativa del posgrado</w:t>
      </w:r>
    </w:p>
    <w:p w:rsidR="00356E67" w:rsidRPr="00EB5CF0" w:rsidRDefault="00356E67" w:rsidP="009C1F74">
      <w:pPr>
        <w:ind w:left="708"/>
      </w:pPr>
      <w:r w:rsidRPr="00EB5CF0">
        <w:t>• Contar con criterios de calidad que permitan evaluar los planes y programas de estudio, los estudiantes y el personal académico, la infraestructura y la organización</w:t>
      </w:r>
    </w:p>
    <w:p w:rsidR="00356E67" w:rsidRPr="00EB5CF0" w:rsidRDefault="00356E67" w:rsidP="009C1F74">
      <w:pPr>
        <w:ind w:left="708"/>
      </w:pPr>
      <w:r w:rsidRPr="00EB5CF0">
        <w:lastRenderedPageBreak/>
        <w:t>• Concebir a la evaluación como un medio para elevar la calidad del posgrado y, por lo tanto, determinar su realización periódica, tanto interna como externa</w:t>
      </w:r>
    </w:p>
    <w:p w:rsidR="00356E67" w:rsidRPr="00EB5CF0" w:rsidRDefault="00356E67" w:rsidP="009C1F74">
      <w:pPr>
        <w:ind w:left="708"/>
      </w:pPr>
      <w:r w:rsidRPr="00EB5CF0">
        <w:t>• Proponer criterios, indicadores y recomendaciones para orientar la creación y consolidación de posgrados.</w:t>
      </w:r>
    </w:p>
    <w:p w:rsidR="00356E67" w:rsidRPr="00EB5CF0" w:rsidRDefault="00356E67" w:rsidP="00E16642"/>
    <w:p w:rsidR="00356E67" w:rsidRPr="00EB5CF0" w:rsidRDefault="00356E67" w:rsidP="00E16642">
      <w:r w:rsidRPr="00EB5CF0">
        <w:t>Además es en este primer Programa Nacional de Posgrado en donde se conceptualiza a los elementos que componen a este nivel de estudio: las especializaciones, la maestría y el doctorado.</w:t>
      </w:r>
      <w:r w:rsidR="00417E10">
        <w:t xml:space="preserve"> Sánchez </w:t>
      </w:r>
      <w:proofErr w:type="spellStart"/>
      <w:r w:rsidR="00417E10">
        <w:t>Maríñez</w:t>
      </w:r>
      <w:proofErr w:type="spellEnd"/>
      <w:r w:rsidR="00417E10">
        <w:t xml:space="preserve"> (2008) sugiere que los niveles de maestría y doctorado fueron retomados de las instituciones de educación superior que constituyeron el inicio mismo de la universidad desde la edad media y que la modalidad. </w:t>
      </w:r>
      <w:r w:rsidRPr="00EB5CF0">
        <w:t>Con respecto a la evaluación que debe hacerse de este nivel académico ya se establecen algunos criterios como los planes de estudio, el personal académico y los tutores, así como los requisitos de ingreso y egreso. Sin embargo, este Programa Nacional no se convirtió en un documento rector porque no logró la participación de todas las instituciones de educación superior</w:t>
      </w:r>
      <w:sdt>
        <w:sdtPr>
          <w:id w:val="22253286"/>
          <w:citation/>
        </w:sdtPr>
        <w:sdtEndPr/>
        <w:sdtContent>
          <w:r w:rsidR="0072146B" w:rsidRPr="00EB5CF0">
            <w:fldChar w:fldCharType="begin"/>
          </w:r>
          <w:r w:rsidRPr="00EB5CF0">
            <w:instrText xml:space="preserve"> CITATION COM7b \l 2058 </w:instrText>
          </w:r>
          <w:r w:rsidR="0072146B" w:rsidRPr="00EB5CF0">
            <w:fldChar w:fldCharType="separate"/>
          </w:r>
          <w:r w:rsidRPr="00EB5CF0">
            <w:rPr>
              <w:noProof/>
            </w:rPr>
            <w:t xml:space="preserve"> (COMEPO, 2007b)</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Puede notarse que a pesar de “las buenas intenciones” llegadas incluso a nivel legal o a la formación de diferentes instituciones y organizaciones, en estos años no se tuvo un plan orientador para impulsar de forma sostenida al posgrado, y como menciona Corrales Burgueño </w:t>
      </w:r>
      <w:sdt>
        <w:sdtPr>
          <w:id w:val="2713659"/>
          <w:citation/>
        </w:sdtPr>
        <w:sdtEndPr/>
        <w:sdtContent>
          <w:r w:rsidR="0072146B" w:rsidRPr="00EB5CF0">
            <w:fldChar w:fldCharType="begin"/>
          </w:r>
          <w:r w:rsidRPr="00EB5CF0">
            <w:instrText xml:space="preserve"> CITATION Cor09 \n  \t  \l 2058  </w:instrText>
          </w:r>
          <w:r w:rsidR="0072146B" w:rsidRPr="00EB5CF0">
            <w:fldChar w:fldCharType="separate"/>
          </w:r>
          <w:r w:rsidRPr="00EB5CF0">
            <w:rPr>
              <w:noProof/>
            </w:rPr>
            <w:t>(2009)</w:t>
          </w:r>
          <w:r w:rsidR="0072146B" w:rsidRPr="00EB5CF0">
            <w:fldChar w:fldCharType="end"/>
          </w:r>
        </w:sdtContent>
      </w:sdt>
      <w:r w:rsidRPr="00EB5CF0">
        <w:t xml:space="preserve"> estas acciones pueden caracterizarse como ineficiencia en los proyectos. </w:t>
      </w:r>
    </w:p>
    <w:p w:rsidR="00356E67" w:rsidRPr="00EB5CF0" w:rsidRDefault="00356E67" w:rsidP="00E16642"/>
    <w:p w:rsidR="00356E67" w:rsidRPr="00EB5CF0" w:rsidRDefault="00356E67" w:rsidP="00E16642"/>
    <w:p w:rsidR="00356E67" w:rsidRPr="005D5427" w:rsidRDefault="00436C36" w:rsidP="00E16642">
      <w:pPr>
        <w:rPr>
          <w:b/>
        </w:rPr>
      </w:pPr>
      <w:r w:rsidRPr="005D5427">
        <w:rPr>
          <w:b/>
        </w:rPr>
        <w:t xml:space="preserve">El </w:t>
      </w:r>
      <w:r w:rsidR="005D5427">
        <w:rPr>
          <w:b/>
        </w:rPr>
        <w:t>P</w:t>
      </w:r>
      <w:r w:rsidRPr="005D5427">
        <w:rPr>
          <w:b/>
        </w:rPr>
        <w:t xml:space="preserve">adrón </w:t>
      </w:r>
      <w:r w:rsidR="005D5427">
        <w:rPr>
          <w:b/>
        </w:rPr>
        <w:t>P</w:t>
      </w:r>
      <w:r w:rsidRPr="005D5427">
        <w:rPr>
          <w:b/>
        </w:rPr>
        <w:t xml:space="preserve">osgrados de </w:t>
      </w:r>
      <w:r w:rsidR="005D5427">
        <w:rPr>
          <w:b/>
        </w:rPr>
        <w:t>E</w:t>
      </w:r>
      <w:r w:rsidRPr="005D5427">
        <w:rPr>
          <w:b/>
        </w:rPr>
        <w:t>xcelencia.</w:t>
      </w:r>
    </w:p>
    <w:p w:rsidR="00356E67" w:rsidRPr="00EB5CF0" w:rsidRDefault="00356E67" w:rsidP="00E16642"/>
    <w:p w:rsidR="00356E67" w:rsidRPr="00EB5CF0" w:rsidRDefault="00356E67" w:rsidP="00E16642">
      <w:r w:rsidRPr="00EB5CF0">
        <w:t xml:space="preserve">En 1991 el CONACyT, como única instancia reconocida para la acreditación de la calidad de los posgrados, formuló el Padrón de Posgrados de Excelencia (PE) con la finalidad de orientar a los estudiantes en su elección, garantizar la asignación óptima de recursos como becas a los mejores estudiantes e identificar a los </w:t>
      </w:r>
      <w:r w:rsidRPr="00EB5CF0">
        <w:lastRenderedPageBreak/>
        <w:t xml:space="preserve">posgrados que ameritaban ser apoyados tanto a nivel de proyectos de investigación como para lograr su maduración o consolidación </w:t>
      </w:r>
      <w:sdt>
        <w:sdtPr>
          <w:id w:val="3822253"/>
          <w:citation/>
        </w:sdtPr>
        <w:sdtEndPr/>
        <w:sdtContent>
          <w:r w:rsidR="0072146B" w:rsidRPr="00EB5CF0">
            <w:fldChar w:fldCharType="begin"/>
          </w:r>
          <w:r w:rsidRPr="00EB5CF0">
            <w:instrText xml:space="preserve"> CITATION CON06 \m Est \l 2058   \m COM7b</w:instrText>
          </w:r>
          <w:r w:rsidR="0072146B" w:rsidRPr="00EB5CF0">
            <w:fldChar w:fldCharType="separate"/>
          </w:r>
          <w:r w:rsidRPr="00EB5CF0">
            <w:rPr>
              <w:noProof/>
            </w:rPr>
            <w:t>(CONACyT, 2006; COMEPO, 2007a; COMEPO, 2007b)</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 xml:space="preserve">En el PE se clasificaba en tres categorías a los programas de posgrado: condicionados, emergentes y aprobados. La solicitud al registro de los programas al padrón se hacía anualmente y se llevaba a cabo una evaluación. Dicha evaluación se realizaba in situ por parte de árbitros externos y era referente a aspectos mínimos como la planta académica, eficiencia de productividad científica, tasa de deserción, tasa de reprobación, tasa de retención, índice de titulación, seguimiento de egresados y costo de la docencia </w:t>
      </w:r>
      <w:sdt>
        <w:sdtPr>
          <w:id w:val="22253291"/>
          <w:citation/>
        </w:sdtPr>
        <w:sdtEndPr/>
        <w:sdtContent>
          <w:r w:rsidR="0072146B" w:rsidRPr="00EB5CF0">
            <w:fldChar w:fldCharType="begin"/>
          </w:r>
          <w:r w:rsidRPr="00EB5CF0">
            <w:instrText xml:space="preserve"> CITATION CON06 \l 2058  \m Est \m Tin05</w:instrText>
          </w:r>
          <w:r w:rsidR="0072146B" w:rsidRPr="00EB5CF0">
            <w:fldChar w:fldCharType="separate"/>
          </w:r>
          <w:r w:rsidRPr="00EB5CF0">
            <w:rPr>
              <w:noProof/>
            </w:rPr>
            <w:t>(CONACyT, 2006; COMEPO, 2007a; Tinajero Villavicencio, 2005)</w:t>
          </w:r>
          <w:r w:rsidR="0072146B" w:rsidRPr="00EB5CF0">
            <w:fldChar w:fldCharType="end"/>
          </w:r>
        </w:sdtContent>
      </w:sdt>
      <w:r w:rsidR="00C05449">
        <w:t>.</w:t>
      </w:r>
    </w:p>
    <w:p w:rsidR="00356E67" w:rsidRPr="00EB5CF0" w:rsidRDefault="00356E67" w:rsidP="00E16642"/>
    <w:p w:rsidR="00356E67" w:rsidRPr="00EB5CF0" w:rsidRDefault="00356E67" w:rsidP="00E16642">
      <w:r w:rsidRPr="00EB5CF0">
        <w:t xml:space="preserve">Es importante mencionar que este padrón estaba restringido exclusivamente a los posgrados de orientación a la investigación, en donde se incluyen campos de conocimiento como ciencias exactas, ciencias naturales, ciencias de la salud, ciencias sociales, ciencias humanas y de la conducta, ciencias aplicadas en ingeniería y ciencias aplicadas en la biología, también a la preparación de tecnólogos de alto nivel </w:t>
      </w:r>
      <w:sdt>
        <w:sdtPr>
          <w:id w:val="92740663"/>
          <w:citation/>
        </w:sdtPr>
        <w:sdtEndPr/>
        <w:sdtContent>
          <w:r w:rsidR="0072146B" w:rsidRPr="00EB5CF0">
            <w:fldChar w:fldCharType="begin"/>
          </w:r>
          <w:r w:rsidRPr="00EB5CF0">
            <w:instrText xml:space="preserve"> CITATION Unisa \m Tin05 \m Est \l 2058  </w:instrText>
          </w:r>
          <w:r w:rsidR="0072146B" w:rsidRPr="00EB5CF0">
            <w:fldChar w:fldCharType="separate"/>
          </w:r>
          <w:r w:rsidRPr="00EB5CF0">
            <w:rPr>
              <w:noProof/>
            </w:rPr>
            <w:t>(Universidad Autónoma de San Luis Potosí, s. a.; Tinajero Villavicencio, 2005; COMEPO, 2007a)</w:t>
          </w:r>
          <w:r w:rsidR="0072146B" w:rsidRPr="00EB5CF0">
            <w:fldChar w:fldCharType="end"/>
          </w:r>
        </w:sdtContent>
      </w:sdt>
      <w:r w:rsidRPr="00EB5CF0">
        <w:t xml:space="preserve">. De acuerdo con Mireles </w:t>
      </w:r>
      <w:sdt>
        <w:sdtPr>
          <w:id w:val="11856704"/>
          <w:citation/>
        </w:sdtPr>
        <w:sdtEndPr/>
        <w:sdtContent>
          <w:r w:rsidR="0072146B" w:rsidRPr="00EB5CF0">
            <w:fldChar w:fldCharType="begin"/>
          </w:r>
          <w:r w:rsidRPr="00EB5CF0">
            <w:instrText xml:space="preserve"> CITATION Mir08 \n  \t  \l 2058  </w:instrText>
          </w:r>
          <w:r w:rsidR="0072146B" w:rsidRPr="00EB5CF0">
            <w:fldChar w:fldCharType="separate"/>
          </w:r>
          <w:r w:rsidRPr="00EB5CF0">
            <w:rPr>
              <w:noProof/>
            </w:rPr>
            <w:t>(2008)</w:t>
          </w:r>
          <w:r w:rsidR="0072146B" w:rsidRPr="00EB5CF0">
            <w:fldChar w:fldCharType="end"/>
          </w:r>
        </w:sdtContent>
      </w:sdt>
      <w:r w:rsidRPr="00EB5CF0">
        <w:t xml:space="preserve">, esta fue una de las causas por las que pocos programas fueron acreditados ya que no se proporcionó apoyo para la consolidación de programas con orientaciones distintas. Tinajero Villavicencio </w:t>
      </w:r>
      <w:sdt>
        <w:sdtPr>
          <w:id w:val="3545689"/>
          <w:citation/>
        </w:sdtPr>
        <w:sdtEndPr/>
        <w:sdtContent>
          <w:r w:rsidR="0072146B" w:rsidRPr="00EB5CF0">
            <w:fldChar w:fldCharType="begin"/>
          </w:r>
          <w:r w:rsidRPr="00EB5CF0">
            <w:instrText xml:space="preserve"> CITATION Tin05 \n  \t  \l 2058  </w:instrText>
          </w:r>
          <w:r w:rsidR="0072146B" w:rsidRPr="00EB5CF0">
            <w:fldChar w:fldCharType="separate"/>
          </w:r>
          <w:r w:rsidRPr="00EB5CF0">
            <w:rPr>
              <w:noProof/>
            </w:rPr>
            <w:t>(2005)</w:t>
          </w:r>
          <w:r w:rsidR="0072146B" w:rsidRPr="00EB5CF0">
            <w:fldChar w:fldCharType="end"/>
          </w:r>
        </w:sdtContent>
      </w:sdt>
      <w:r w:rsidRPr="00EB5CF0">
        <w:t xml:space="preserve"> reporta que </w:t>
      </w:r>
      <w:r w:rsidR="00AB32CA">
        <w:t>solo</w:t>
      </w:r>
      <w:r w:rsidRPr="00EB5CF0">
        <w:t xml:space="preserve"> se integraron 328 programas.</w:t>
      </w:r>
    </w:p>
    <w:p w:rsidR="00356E67" w:rsidRPr="00EB5CF0" w:rsidRDefault="00356E67" w:rsidP="00E16642"/>
    <w:p w:rsidR="00356E67" w:rsidRPr="00EB5CF0" w:rsidRDefault="00356E67" w:rsidP="00E16642">
      <w:r w:rsidRPr="00EB5CF0">
        <w:t xml:space="preserve">De cualquier modo, la pertenecía de posgrados a este padrón disminuyó de 1995 a 1996 debido a que en ese año se establecieron, según el mismo CONACyT </w:t>
      </w:r>
      <w:sdt>
        <w:sdtPr>
          <w:id w:val="92740668"/>
          <w:citation/>
        </w:sdtPr>
        <w:sdtEndPr/>
        <w:sdtContent>
          <w:r w:rsidR="0072146B" w:rsidRPr="00EB5CF0">
            <w:fldChar w:fldCharType="begin"/>
          </w:r>
          <w:r w:rsidRPr="00EB5CF0">
            <w:instrText xml:space="preserve"> CITATION CON06 \n  \t  \l 2058  </w:instrText>
          </w:r>
          <w:r w:rsidR="0072146B" w:rsidRPr="00EB5CF0">
            <w:fldChar w:fldCharType="separate"/>
          </w:r>
          <w:r w:rsidRPr="00EB5CF0">
            <w:rPr>
              <w:noProof/>
            </w:rPr>
            <w:t>(2006)</w:t>
          </w:r>
          <w:r w:rsidR="0072146B" w:rsidRPr="00EB5CF0">
            <w:fldChar w:fldCharType="end"/>
          </w:r>
        </w:sdtContent>
      </w:sdt>
      <w:r w:rsidRPr="00EB5CF0">
        <w:t xml:space="preserve">, métodos de evaluación más rigurosos y sistematizados que tomaban en cuenta tanto aspectos cualitativos como cuantitativos. Lo anterior también ocasionó que se clasificaran más programas condicionados o emergentes que aprobados, casi el 65 % de los registrados. </w:t>
      </w:r>
    </w:p>
    <w:p w:rsidR="00356E67" w:rsidRPr="00EB5CF0" w:rsidRDefault="00356E67" w:rsidP="00E16642"/>
    <w:p w:rsidR="00356E67" w:rsidRPr="00EB5CF0" w:rsidRDefault="00356E67" w:rsidP="00E16642"/>
    <w:p w:rsidR="00356E67" w:rsidRPr="005D5427" w:rsidRDefault="00436C36" w:rsidP="00E16642">
      <w:pPr>
        <w:rPr>
          <w:b/>
        </w:rPr>
      </w:pPr>
      <w:r w:rsidRPr="005D5427">
        <w:rPr>
          <w:b/>
        </w:rPr>
        <w:t xml:space="preserve">Programa de </w:t>
      </w:r>
      <w:r w:rsidR="005D5427">
        <w:rPr>
          <w:b/>
        </w:rPr>
        <w:t>F</w:t>
      </w:r>
      <w:r w:rsidRPr="005D5427">
        <w:rPr>
          <w:b/>
        </w:rPr>
        <w:t xml:space="preserve">ortalecimiento del </w:t>
      </w:r>
      <w:r w:rsidR="005D5427">
        <w:rPr>
          <w:b/>
        </w:rPr>
        <w:t>P</w:t>
      </w:r>
      <w:r w:rsidRPr="005D5427">
        <w:rPr>
          <w:b/>
        </w:rPr>
        <w:t xml:space="preserve">osgrado </w:t>
      </w:r>
      <w:r w:rsidR="005D5427">
        <w:rPr>
          <w:b/>
        </w:rPr>
        <w:t>N</w:t>
      </w:r>
      <w:r w:rsidRPr="005D5427">
        <w:rPr>
          <w:b/>
        </w:rPr>
        <w:t>acional</w:t>
      </w:r>
    </w:p>
    <w:p w:rsidR="00356E67" w:rsidRPr="00EB5CF0" w:rsidRDefault="00356E67" w:rsidP="00E16642"/>
    <w:p w:rsidR="00356E67" w:rsidRPr="00EB5CF0" w:rsidRDefault="00356E67" w:rsidP="00E16642">
      <w:r w:rsidRPr="00EB5CF0">
        <w:t xml:space="preserve">En el marco del Plan Nacional de Desarrollo, del Programa Nacional de Educación 2001-2006 y del Programa Especial de Ciencia y Tecnología, el CONACyT, en coordinación con la SEP en el 2001, implementó el Programa para el Fortalecimiento del Posgrado Nacional (PFPN) como plan y modelo de desarrollo del posgrado en México (ver figura 1). En esta nueva política se establecieron dos sendas para el fortalecimiento del posgrado, la primera fue el Programa Nacional de Posgrados (PNP), en donde configuraban los Programas de Alto Nivel y los Programas con Nivel Internacional, esta categoría sustituye al antiguo Padrón de Excelencia (PE); y la segunda el Programa Integral de Fortalecimiento al Posgrado (PIFOP) </w:t>
      </w:r>
      <w:r w:rsidRPr="00EB5CF0">
        <w:rPr>
          <w:noProof/>
        </w:rPr>
        <w:t xml:space="preserve">que se convierte en la categoría para los programas todavía no consolidados </w:t>
      </w:r>
      <w:sdt>
        <w:sdtPr>
          <w:rPr>
            <w:noProof/>
          </w:rPr>
          <w:id w:val="22253269"/>
          <w:citation/>
        </w:sdtPr>
        <w:sdtEndPr/>
        <w:sdtContent>
          <w:r w:rsidR="0072146B" w:rsidRPr="00EB5CF0">
            <w:rPr>
              <w:noProof/>
            </w:rPr>
            <w:fldChar w:fldCharType="begin"/>
          </w:r>
          <w:r w:rsidRPr="00EB5CF0">
            <w:rPr>
              <w:noProof/>
            </w:rPr>
            <w:instrText xml:space="preserve"> CITATION Est \m Mir08 \m Unisa \l 2058  </w:instrText>
          </w:r>
          <w:r w:rsidR="0072146B" w:rsidRPr="00EB5CF0">
            <w:rPr>
              <w:noProof/>
            </w:rPr>
            <w:fldChar w:fldCharType="separate"/>
          </w:r>
          <w:r w:rsidRPr="00EB5CF0">
            <w:rPr>
              <w:noProof/>
            </w:rPr>
            <w:t>(COMEPO, 2007a; Mireles, 2008; Universidad Autónoma de San Luis Potosí, s. a.)</w:t>
          </w:r>
          <w:r w:rsidR="0072146B" w:rsidRPr="00EB5CF0">
            <w:rPr>
              <w:noProof/>
            </w:rPr>
            <w:fldChar w:fldCharType="end"/>
          </w:r>
        </w:sdtContent>
      </w:sdt>
      <w:r w:rsidR="00C05449">
        <w:rPr>
          <w:noProof/>
        </w:rPr>
        <w:t>.</w:t>
      </w:r>
    </w:p>
    <w:p w:rsidR="00356E67" w:rsidRPr="00EB5CF0" w:rsidRDefault="00356E67" w:rsidP="00E16642"/>
    <w:p w:rsidR="00356E67" w:rsidRPr="00C05449" w:rsidRDefault="00356E67" w:rsidP="00C05449">
      <w:pPr>
        <w:jc w:val="center"/>
        <w:rPr>
          <w:sz w:val="22"/>
        </w:rPr>
      </w:pPr>
      <w:r w:rsidRPr="00C05449">
        <w:rPr>
          <w:sz w:val="22"/>
        </w:rPr>
        <w:t>Figura 1. Programa de Fortalecimiento al Posgrado Nacional</w:t>
      </w:r>
    </w:p>
    <w:p w:rsidR="00356E67" w:rsidRPr="00EB5CF0" w:rsidRDefault="00EB760B" w:rsidP="00E16642">
      <w:r>
        <w:rPr>
          <w:noProof/>
          <w:lang w:eastAsia="es-ES"/>
        </w:rPr>
        <w:pict>
          <v:oval id="_x0000_s1066" style="position:absolute;left:0;text-align:left;margin-left:75.35pt;margin-top:26.85pt;width:78.9pt;height:14.25pt;z-index:251660288" fillcolor="#92cddc [1944]" strokecolor="#4bacc6 [3208]" strokeweight="1pt">
            <v:fill opacity="12452f" color2="#4bacc6 [3208]" focus="50%" type="gradient"/>
            <v:shadow on="t" type="perspective" color="#205867 [1608]" offset="1pt" offset2="-3pt"/>
            <v:textbox style="mso-next-textbox:#_x0000_s1066">
              <w:txbxContent>
                <w:p w:rsidR="008979D4" w:rsidRPr="00A34DDA" w:rsidRDefault="008979D4" w:rsidP="00356E67">
                  <w:pPr>
                    <w:jc w:val="center"/>
                    <w:rPr>
                      <w:sz w:val="8"/>
                      <w:szCs w:val="8"/>
                    </w:rPr>
                  </w:pPr>
                  <w:r w:rsidRPr="00A34DDA">
                    <w:rPr>
                      <w:sz w:val="8"/>
                      <w:szCs w:val="8"/>
                    </w:rPr>
                    <w:t>PROFESIONALIZANTE</w:t>
                  </w:r>
                </w:p>
              </w:txbxContent>
            </v:textbox>
          </v:oval>
        </w:pict>
      </w:r>
      <w:r>
        <w:rPr>
          <w:noProof/>
          <w:lang w:eastAsia="es-ES"/>
        </w:rPr>
        <w:pict>
          <v:oval id="_x0000_s1067" style="position:absolute;left:0;text-align:left;margin-left:218.9pt;margin-top:26.5pt;width:78.9pt;height:14.25pt;z-index:251661312" fillcolor="#92cddc [1944]" strokecolor="#4bacc6 [3208]" strokeweight="1pt">
            <v:fill opacity="12452f" color2="#4bacc6 [3208]" focus="50%" type="gradient"/>
            <v:shadow on="t" type="perspective" color="#205867 [1608]" offset="1pt" offset2="-3pt"/>
            <v:textbox style="mso-next-textbox:#_x0000_s1067">
              <w:txbxContent>
                <w:p w:rsidR="008979D4" w:rsidRPr="00A34DDA" w:rsidRDefault="008979D4" w:rsidP="00356E67">
                  <w:pPr>
                    <w:jc w:val="center"/>
                    <w:rPr>
                      <w:sz w:val="8"/>
                      <w:szCs w:val="8"/>
                    </w:rPr>
                  </w:pPr>
                  <w:r w:rsidRPr="00A34DDA">
                    <w:rPr>
                      <w:sz w:val="8"/>
                      <w:szCs w:val="8"/>
                    </w:rPr>
                    <w:t>INVESTIGACIÓN</w:t>
                  </w:r>
                </w:p>
              </w:txbxContent>
            </v:textbox>
          </v:oval>
        </w:pict>
      </w:r>
      <w:r w:rsidR="00356E67" w:rsidRPr="00EB5CF0">
        <w:rPr>
          <w:noProof/>
          <w:lang w:eastAsia="es-MX"/>
        </w:rPr>
        <w:drawing>
          <wp:inline distT="0" distB="0" distL="0" distR="0">
            <wp:extent cx="5246765" cy="2402665"/>
            <wp:effectExtent l="0" t="0" r="0" b="9334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56E67" w:rsidRPr="00C05449" w:rsidRDefault="00356E67" w:rsidP="00C05449">
      <w:pPr>
        <w:ind w:left="708" w:right="900"/>
        <w:rPr>
          <w:sz w:val="18"/>
          <w:szCs w:val="20"/>
        </w:rPr>
      </w:pPr>
      <w:r w:rsidRPr="00C05449">
        <w:rPr>
          <w:sz w:val="18"/>
          <w:szCs w:val="20"/>
        </w:rPr>
        <w:t>Fuente: Elaboración propia. En la figura se observa que dentro del PFPN están incorporados los programas con orientación profesionalizante y los programas con orientación a la investigación. El PNP es el padrón que contiene a los programas de nivel o reconocimiento internacional y los programas de alto nivel o reconocimiento nacional. También se puede observar la participación del Programa de Fortalecimiento al Posgrado (PIFOP).</w:t>
      </w:r>
    </w:p>
    <w:p w:rsidR="00356E67" w:rsidRPr="00EB5CF0" w:rsidRDefault="00356E67" w:rsidP="00E16642"/>
    <w:p w:rsidR="00356E67" w:rsidRPr="00EB5CF0" w:rsidRDefault="00356E67" w:rsidP="00E16642">
      <w:r w:rsidRPr="00EB5CF0">
        <w:t xml:space="preserve">En ese mismo año (2001) se crea el Consejo Mexicano de Estudios de Posgrado (COMEPO) con la finalidad de que desde las mismas instituciones de educación superior se coadyuve al desarrollo del Programa Nacional de Posgrados del CONACyT </w:t>
      </w:r>
      <w:sdt>
        <w:sdtPr>
          <w:id w:val="2713657"/>
          <w:citation/>
        </w:sdtPr>
        <w:sdtEndPr/>
        <w:sdtContent>
          <w:r w:rsidR="0072146B" w:rsidRPr="00EB5CF0">
            <w:fldChar w:fldCharType="begin"/>
          </w:r>
          <w:r w:rsidRPr="00EB5CF0">
            <w:instrText xml:space="preserve"> CITATION COMsa \l 2058 </w:instrText>
          </w:r>
          <w:r w:rsidR="0072146B" w:rsidRPr="00EB5CF0">
            <w:fldChar w:fldCharType="separate"/>
          </w:r>
          <w:r w:rsidRPr="00EB5CF0">
            <w:rPr>
              <w:noProof/>
            </w:rPr>
            <w:t>(COMEPO, s. a.)</w:t>
          </w:r>
          <w:r w:rsidR="0072146B" w:rsidRPr="00EB5CF0">
            <w:fldChar w:fldCharType="end"/>
          </w:r>
        </w:sdtContent>
      </w:sdt>
      <w:r w:rsidRPr="00EB5CF0">
        <w:t xml:space="preserve">, es decir, contribuir a la mejora de la calidad de los posgrados y la investigación trabajando a la par de las autoridades gubernamentales </w:t>
      </w:r>
      <w:sdt>
        <w:sdtPr>
          <w:id w:val="2713658"/>
          <w:citation/>
        </w:sdtPr>
        <w:sdtEndPr/>
        <w:sdtContent>
          <w:r w:rsidR="0072146B" w:rsidRPr="00EB5CF0">
            <w:fldChar w:fldCharType="begin"/>
          </w:r>
          <w:r w:rsidRPr="00EB5CF0">
            <w:instrText xml:space="preserve"> CITATION COM05 \l 2058 </w:instrText>
          </w:r>
          <w:r w:rsidR="0072146B" w:rsidRPr="00EB5CF0">
            <w:fldChar w:fldCharType="separate"/>
          </w:r>
          <w:r w:rsidRPr="00EB5CF0">
            <w:rPr>
              <w:noProof/>
            </w:rPr>
            <w:t>(COMEPO, 2005)</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 xml:space="preserve">Los objetivos del PFPN fueron el fomento a la mejora del posgrado nacional, el reconocimiento y seguridad de la buena calidad de los programas de posgrado y el impulso de las especialidades técnicas </w:t>
      </w:r>
      <w:sdt>
        <w:sdtPr>
          <w:id w:val="4000576"/>
          <w:citation/>
        </w:sdtPr>
        <w:sdtEndPr/>
        <w:sdtContent>
          <w:r w:rsidR="0072146B" w:rsidRPr="00EB5CF0">
            <w:fldChar w:fldCharType="begin"/>
          </w:r>
          <w:r w:rsidRPr="00EB5CF0">
            <w:instrText xml:space="preserve"> CITATION Álv03 \l 2058 </w:instrText>
          </w:r>
          <w:r w:rsidR="0072146B" w:rsidRPr="00EB5CF0">
            <w:fldChar w:fldCharType="separate"/>
          </w:r>
          <w:r w:rsidRPr="00EB5CF0">
            <w:rPr>
              <w:noProof/>
            </w:rPr>
            <w:t>(Álvarez Bruneliere, 2003)</w:t>
          </w:r>
          <w:r w:rsidR="0072146B" w:rsidRPr="00EB5CF0">
            <w:fldChar w:fldCharType="end"/>
          </w:r>
        </w:sdtContent>
      </w:sdt>
      <w:r w:rsidRPr="00EB5CF0">
        <w:t xml:space="preserve">; es decir, a través del PIFOP se dio oportunidad de reconocer y acreditar a los programas que necesitaran ayuda para su consolidación y futura integración al PNP </w:t>
      </w:r>
      <w:sdt>
        <w:sdtPr>
          <w:id w:val="11856707"/>
          <w:citation/>
        </w:sdtPr>
        <w:sdtEndPr/>
        <w:sdtContent>
          <w:r w:rsidR="0072146B" w:rsidRPr="00EB5CF0">
            <w:fldChar w:fldCharType="begin"/>
          </w:r>
          <w:r w:rsidRPr="00EB5CF0">
            <w:instrText xml:space="preserve"> CITATION Mir08 \l 2058  \m Tin05</w:instrText>
          </w:r>
          <w:r w:rsidR="0072146B" w:rsidRPr="00EB5CF0">
            <w:fldChar w:fldCharType="separate"/>
          </w:r>
          <w:r w:rsidRPr="00EB5CF0">
            <w:rPr>
              <w:noProof/>
            </w:rPr>
            <w:t>(Mireles, 2008; Tinajero Villavicencio, 2005)</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pPr>
        <w:rPr>
          <w:rFonts w:eastAsia="Times New Roman"/>
          <w:i/>
          <w:iCs/>
          <w:lang w:eastAsia="es-ES"/>
        </w:rPr>
      </w:pPr>
      <w:r w:rsidRPr="00EB5CF0">
        <w:t>En este punto fue que se puso a atención a las posibles orientaciones de los posgrados y se incluyó la categoría de posgrados con orientación profesionalizante. Sin embargo, a decir del COMEPO</w:t>
      </w:r>
      <w:sdt>
        <w:sdtPr>
          <w:id w:val="11576226"/>
          <w:citation/>
        </w:sdtPr>
        <w:sdtEndPr/>
        <w:sdtContent>
          <w:r w:rsidR="0072146B" w:rsidRPr="00EB5CF0">
            <w:fldChar w:fldCharType="begin"/>
          </w:r>
          <w:r w:rsidRPr="00EB5CF0">
            <w:instrText xml:space="preserve"> CITATION COM7b \n  \t  \l 2058  </w:instrText>
          </w:r>
          <w:r w:rsidR="0072146B" w:rsidRPr="00EB5CF0">
            <w:fldChar w:fldCharType="separate"/>
          </w:r>
          <w:r w:rsidRPr="00EB5CF0">
            <w:rPr>
              <w:noProof/>
            </w:rPr>
            <w:t xml:space="preserve"> (2007b)</w:t>
          </w:r>
          <w:r w:rsidR="0072146B" w:rsidRPr="00EB5CF0">
            <w:fldChar w:fldCharType="end"/>
          </w:r>
        </w:sdtContent>
      </w:sdt>
      <w:r w:rsidRPr="00EB5CF0">
        <w:t>, la tipología empleada no varía a la de los criterios del Programa Nacional de Posgrado de 1989-1994, en esencia son los mismos indicadores los que se plantean para la evaluación de los posgrados.</w:t>
      </w:r>
    </w:p>
    <w:p w:rsidR="00356E67" w:rsidRPr="00EB5CF0" w:rsidRDefault="00356E67" w:rsidP="00E16642"/>
    <w:p w:rsidR="00356E67" w:rsidRPr="00EB5CF0" w:rsidRDefault="00356E67" w:rsidP="00E16642"/>
    <w:p w:rsidR="00356E67" w:rsidRPr="00EB5CF0" w:rsidRDefault="00436C36" w:rsidP="003E1A0D">
      <w:pPr>
        <w:pStyle w:val="Ttulo2"/>
      </w:pPr>
      <w:bookmarkStart w:id="35" w:name="_Toc308691492"/>
      <w:r w:rsidRPr="00EB5CF0">
        <w:t xml:space="preserve">Programa Nacional </w:t>
      </w:r>
      <w:r>
        <w:t>de Posgrados d</w:t>
      </w:r>
      <w:r w:rsidRPr="00EB5CF0">
        <w:t>e Calidad</w:t>
      </w:r>
      <w:bookmarkEnd w:id="35"/>
    </w:p>
    <w:p w:rsidR="00356E67" w:rsidRPr="00EB5CF0" w:rsidRDefault="00356E67" w:rsidP="00E16642"/>
    <w:p w:rsidR="00356E67" w:rsidRPr="00EB5CF0" w:rsidRDefault="00356E67" w:rsidP="00E16642">
      <w:pPr>
        <w:rPr>
          <w:rFonts w:eastAsia="Times New Roman"/>
          <w:iCs/>
          <w:lang w:eastAsia="es-ES"/>
        </w:rPr>
      </w:pPr>
      <w:r w:rsidRPr="00EB5CF0">
        <w:t>En los años siguientes aunque continuó la estrategia de incorporación de los programas de posgrado a un padrón, hubo un cambio en las nomenclaturas en el trabajo del CONACyT; es entonces que para el periodo de 2007 al 2012 se establece el Programa Nacional de Posgrados de Calidad (PNPC), administrado por el Consejo junto con la Subsecretaría de Educación Superior (SES) de la Secretaría de Educación Pública</w:t>
      </w:r>
      <w:sdt>
        <w:sdtPr>
          <w:id w:val="1229924"/>
          <w:citation/>
        </w:sdtPr>
        <w:sdtEndPr/>
        <w:sdtContent>
          <w:r w:rsidR="0072146B" w:rsidRPr="00EB5CF0">
            <w:fldChar w:fldCharType="begin"/>
          </w:r>
          <w:r w:rsidRPr="00EB5CF0">
            <w:instrText xml:space="preserve"> CITATION CON091 \l 2058  </w:instrText>
          </w:r>
          <w:r w:rsidR="0072146B" w:rsidRPr="00EB5CF0">
            <w:fldChar w:fldCharType="separate"/>
          </w:r>
          <w:r w:rsidRPr="00EB5CF0">
            <w:rPr>
              <w:noProof/>
            </w:rPr>
            <w:t xml:space="preserve"> (CONACyT, 2009b)</w:t>
          </w:r>
          <w:r w:rsidR="0072146B" w:rsidRPr="00EB5CF0">
            <w:fldChar w:fldCharType="end"/>
          </w:r>
        </w:sdtContent>
      </w:sdt>
      <w:r w:rsidRPr="00EB5CF0">
        <w:t xml:space="preserve">. El PNPC tiene como misión </w:t>
      </w:r>
      <w:r w:rsidRPr="00EB5CF0">
        <w:rPr>
          <w:rFonts w:eastAsia="Times New Roman"/>
          <w:lang w:eastAsia="es-ES"/>
        </w:rPr>
        <w:lastRenderedPageBreak/>
        <w:t>“</w:t>
      </w:r>
      <w:r w:rsidRPr="00EB5CF0">
        <w:rPr>
          <w:rFonts w:eastAsia="Times New Roman"/>
          <w:iCs/>
          <w:lang w:eastAsia="es-ES"/>
        </w:rPr>
        <w:t>fomentar la mejora continua y el aseguramiento de la calidad del posgrado nacional, que dé sustento al incremento de las capacidades científicas, tecnológicas, sociales, humanísticas, y de innovación del país” (ver figura 2).</w:t>
      </w:r>
    </w:p>
    <w:p w:rsidR="00356E67" w:rsidRPr="00EB5CF0" w:rsidRDefault="00356E67" w:rsidP="00E16642">
      <w:pPr>
        <w:rPr>
          <w:rFonts w:eastAsia="Times New Roman"/>
          <w:i/>
          <w:iCs/>
          <w:lang w:eastAsia="es-ES"/>
        </w:rPr>
      </w:pPr>
    </w:p>
    <w:p w:rsidR="00356E67" w:rsidRPr="00EB5CF0" w:rsidRDefault="00356E67" w:rsidP="00E16642">
      <w:pPr>
        <w:rPr>
          <w:rFonts w:eastAsia="Times New Roman"/>
          <w:iCs/>
          <w:lang w:eastAsia="es-ES"/>
        </w:rPr>
      </w:pPr>
      <w:r w:rsidRPr="00EB5CF0">
        <w:rPr>
          <w:rFonts w:eastAsia="Times New Roman"/>
          <w:iCs/>
          <w:lang w:eastAsia="es-ES"/>
        </w:rPr>
        <w:t xml:space="preserve">Las políticas que rigen el PNPC del 2007-2012 son </w:t>
      </w:r>
      <w:sdt>
        <w:sdtPr>
          <w:rPr>
            <w:rFonts w:eastAsia="Times New Roman"/>
            <w:iCs/>
            <w:lang w:eastAsia="es-ES"/>
          </w:rPr>
          <w:id w:val="1229981"/>
          <w:citation/>
        </w:sdtPr>
        <w:sdtEndPr/>
        <w:sdtContent>
          <w:r w:rsidR="0072146B" w:rsidRPr="00EB5CF0">
            <w:rPr>
              <w:rFonts w:eastAsia="Times New Roman"/>
              <w:iCs/>
              <w:lang w:eastAsia="es-ES"/>
            </w:rPr>
            <w:fldChar w:fldCharType="begin"/>
          </w:r>
          <w:r w:rsidRPr="00EB5CF0">
            <w:rPr>
              <w:rFonts w:eastAsia="Times New Roman"/>
              <w:iCs/>
              <w:lang w:eastAsia="es-ES"/>
            </w:rPr>
            <w:instrText xml:space="preserve"> CITATION CON08 \l 2058  </w:instrText>
          </w:r>
          <w:r w:rsidR="0072146B" w:rsidRPr="00EB5CF0">
            <w:rPr>
              <w:rFonts w:eastAsia="Times New Roman"/>
              <w:iCs/>
              <w:lang w:eastAsia="es-ES"/>
            </w:rPr>
            <w:fldChar w:fldCharType="separate"/>
          </w:r>
          <w:r w:rsidRPr="00EB5CF0">
            <w:rPr>
              <w:rFonts w:eastAsia="Times New Roman"/>
              <w:noProof/>
              <w:lang w:eastAsia="es-ES"/>
            </w:rPr>
            <w:t>(CONACyT &amp; SES, 2008)</w:t>
          </w:r>
          <w:r w:rsidR="0072146B" w:rsidRPr="00EB5CF0">
            <w:rPr>
              <w:rFonts w:eastAsia="Times New Roman"/>
              <w:iCs/>
              <w:lang w:eastAsia="es-ES"/>
            </w:rPr>
            <w:fldChar w:fldCharType="end"/>
          </w:r>
        </w:sdtContent>
      </w:sdt>
      <w:r w:rsidRPr="00EB5CF0">
        <w:rPr>
          <w:rFonts w:eastAsia="Times New Roman"/>
          <w:iCs/>
          <w:lang w:eastAsia="es-ES"/>
        </w:rPr>
        <w:t>:</w:t>
      </w:r>
    </w:p>
    <w:p w:rsidR="00356E67" w:rsidRPr="00EB5CF0" w:rsidRDefault="00356E67" w:rsidP="00427F81">
      <w:pPr>
        <w:pStyle w:val="Prrafodelista"/>
        <w:numPr>
          <w:ilvl w:val="0"/>
          <w:numId w:val="25"/>
        </w:numPr>
      </w:pPr>
      <w:r w:rsidRPr="00EB5CF0">
        <w:rPr>
          <w:lang w:eastAsia="es-ES"/>
        </w:rPr>
        <w:t xml:space="preserve">La consolidación del posgrado nacional de buena calidad tomando como criterio la sustentabilidad, a través de la formación de investigadores que atiendan necesidades y demandas prioritarias de la sociedad; la preparación de profesionales especializados en la transferencia y aplicación del conocimiento; y el fomento a la triada </w:t>
      </w:r>
      <w:r w:rsidRPr="00EB5CF0">
        <w:t>formación-investigación-innovación en áreas estratégicas.</w:t>
      </w:r>
    </w:p>
    <w:p w:rsidR="00356E67" w:rsidRPr="00EB5CF0" w:rsidRDefault="00356E67" w:rsidP="00427F81">
      <w:pPr>
        <w:pStyle w:val="Prrafodelista"/>
        <w:numPr>
          <w:ilvl w:val="0"/>
          <w:numId w:val="25"/>
        </w:numPr>
      </w:pPr>
      <w:r w:rsidRPr="00EB5CF0">
        <w:t>El incremento de la calidad y pertinencia del posgrado nacional a nivel mundial, por medio de sistemas como el PNPC y la facilitación de la movilidad estudiantil, de profesores o de investigadores tanto nacional como internacionalmente.</w:t>
      </w:r>
    </w:p>
    <w:p w:rsidR="00356E67" w:rsidRPr="00EB5CF0" w:rsidRDefault="00356E67" w:rsidP="00427F81">
      <w:pPr>
        <w:pStyle w:val="Prrafodelista"/>
        <w:numPr>
          <w:ilvl w:val="0"/>
          <w:numId w:val="25"/>
        </w:numPr>
      </w:pPr>
      <w:r w:rsidRPr="00EB5CF0">
        <w:t>La promoción de la internacionalización del posgrado y la cooperación interinstitucional; por ejemplo, con programas compartidos, con la integración de redes temáticas nacionales, con la incorporación de observadores internacionales en el proceso de evaluación del PNPC logrando así su difusión o la certificación de los programas en redes internacionales.</w:t>
      </w:r>
    </w:p>
    <w:p w:rsidR="00356E67" w:rsidRPr="00EB5CF0" w:rsidRDefault="00356E67" w:rsidP="00427F81">
      <w:pPr>
        <w:pStyle w:val="Prrafodelista"/>
        <w:numPr>
          <w:ilvl w:val="0"/>
          <w:numId w:val="25"/>
        </w:numPr>
      </w:pPr>
      <w:r w:rsidRPr="00EB5CF0">
        <w:t>La cooperación entre los diversos sectores de la sociedad, generando beneficios tangibles en la economía nacional, ello a partir de la definición de las demandas de formación que tienen los diversos sectores como el académico, el gubernamental y el de iniciativa privada.</w:t>
      </w:r>
    </w:p>
    <w:p w:rsidR="00356E67" w:rsidRPr="00EB5CF0" w:rsidRDefault="00356E67" w:rsidP="00427F81">
      <w:pPr>
        <w:pStyle w:val="Prrafodelista"/>
        <w:numPr>
          <w:ilvl w:val="0"/>
          <w:numId w:val="25"/>
        </w:numPr>
        <w:rPr>
          <w:lang w:eastAsia="es-ES"/>
        </w:rPr>
      </w:pPr>
      <w:r w:rsidRPr="00EB5CF0">
        <w:t>La evaluación sistemática por la institución del desempeño de los programas pertenecientes al PNPC, para que a partir de la planeación institucional se analice el impacto y el beneficio social y así mejoren las oportunidades de los egresados manteniendo también un seguimiento que pueda ser consultado por los diversos sectores sociales.</w:t>
      </w:r>
    </w:p>
    <w:p w:rsidR="00356E67" w:rsidRPr="00EB5CF0" w:rsidRDefault="00356E67" w:rsidP="00E16642">
      <w:pPr>
        <w:rPr>
          <w:lang w:eastAsia="es-ES"/>
        </w:rPr>
      </w:pPr>
    </w:p>
    <w:p w:rsidR="00356E67" w:rsidRPr="00EB5CF0" w:rsidRDefault="00356E67" w:rsidP="00E16642"/>
    <w:p w:rsidR="00356E67" w:rsidRPr="00C05449" w:rsidRDefault="00356E67" w:rsidP="00C05449">
      <w:pPr>
        <w:jc w:val="center"/>
        <w:rPr>
          <w:sz w:val="22"/>
        </w:rPr>
      </w:pPr>
      <w:r w:rsidRPr="00C05449">
        <w:rPr>
          <w:sz w:val="22"/>
        </w:rPr>
        <w:t>Figura 2. Programa Nacional de Posgrados de Calidad</w:t>
      </w:r>
    </w:p>
    <w:p w:rsidR="00356E67" w:rsidRPr="00EB5CF0" w:rsidRDefault="00EB760B" w:rsidP="00E16642">
      <w:r>
        <w:rPr>
          <w:noProof/>
          <w:lang w:eastAsia="es-ES"/>
        </w:rPr>
        <w:pict>
          <v:oval id="_x0000_s1069" style="position:absolute;left:0;text-align:left;margin-left:212.9pt;margin-top:20.35pt;width:78.9pt;height:14.6pt;z-index:251663360" fillcolor="#95b3d7 [1940]" strokecolor="#4f81bd [3204]" strokeweight="1pt">
            <v:fill opacity="12452f" color2="#4f81bd [3204]" focus="50%" type="gradient"/>
            <v:shadow on="t" type="perspective" color="#243f60 [1604]" offset="1pt" offset2="-3pt"/>
            <v:textbox style="mso-next-textbox:#_x0000_s1069">
              <w:txbxContent>
                <w:p w:rsidR="008979D4" w:rsidRPr="00B608B5" w:rsidRDefault="008979D4" w:rsidP="00356E67">
                  <w:pPr>
                    <w:jc w:val="center"/>
                    <w:rPr>
                      <w:color w:val="FFFF00"/>
                      <w:sz w:val="8"/>
                      <w:szCs w:val="8"/>
                    </w:rPr>
                  </w:pPr>
                  <w:r w:rsidRPr="00B608B5">
                    <w:rPr>
                      <w:color w:val="FFFF00"/>
                      <w:sz w:val="8"/>
                      <w:szCs w:val="8"/>
                    </w:rPr>
                    <w:t>INVESTIGACIÓN</w:t>
                  </w:r>
                </w:p>
              </w:txbxContent>
            </v:textbox>
          </v:oval>
        </w:pict>
      </w:r>
      <w:r>
        <w:rPr>
          <w:noProof/>
          <w:lang w:eastAsia="es-ES"/>
        </w:rPr>
        <w:pict>
          <v:oval id="_x0000_s1068" style="position:absolute;left:0;text-align:left;margin-left:69.35pt;margin-top:20.7pt;width:78.9pt;height:14.25pt;z-index:251662336" fillcolor="#95b3d7 [1940]" strokecolor="#4f81bd [3204]" strokeweight="1pt">
            <v:fill opacity="12452f" color2="#4f81bd [3204]" focus="50%" type="gradient"/>
            <v:shadow on="t" type="perspective" color="#243f60 [1604]" offset="1pt" offset2="-3pt"/>
            <v:textbox style="mso-next-textbox:#_x0000_s1068">
              <w:txbxContent>
                <w:p w:rsidR="008979D4" w:rsidRPr="00B608B5" w:rsidRDefault="008979D4" w:rsidP="00356E67">
                  <w:pPr>
                    <w:jc w:val="center"/>
                    <w:rPr>
                      <w:color w:val="FFFF00"/>
                      <w:sz w:val="8"/>
                      <w:szCs w:val="8"/>
                    </w:rPr>
                  </w:pPr>
                  <w:r w:rsidRPr="00B608B5">
                    <w:rPr>
                      <w:color w:val="FFFF00"/>
                      <w:sz w:val="8"/>
                      <w:szCs w:val="8"/>
                    </w:rPr>
                    <w:t>PROFESIONALIZANTE</w:t>
                  </w:r>
                </w:p>
              </w:txbxContent>
            </v:textbox>
          </v:oval>
        </w:pict>
      </w:r>
      <w:r w:rsidR="00356E67" w:rsidRPr="00EB5CF0">
        <w:rPr>
          <w:noProof/>
          <w:lang w:eastAsia="es-MX"/>
        </w:rPr>
        <w:drawing>
          <wp:inline distT="0" distB="0" distL="0" distR="0">
            <wp:extent cx="5400303" cy="2062129"/>
            <wp:effectExtent l="0" t="0" r="0" b="90805"/>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56E67" w:rsidRPr="00427F81" w:rsidRDefault="00356E67" w:rsidP="00C05449">
      <w:pPr>
        <w:ind w:left="708" w:right="616"/>
        <w:rPr>
          <w:sz w:val="20"/>
          <w:szCs w:val="20"/>
        </w:rPr>
      </w:pPr>
      <w:r w:rsidRPr="00427F81">
        <w:rPr>
          <w:sz w:val="20"/>
          <w:szCs w:val="20"/>
        </w:rPr>
        <w:t>Fuente: Elaboración propia. En esta nueva política del Programa Nacional de Posgrados de calidad, se siguen reconociendo los programas con orientación profesionalizante y los programas con orientación a la investigación. El PNP continúa siendo el padrón que contiene a los Programas de Nivel-Reconocimiento Internacional ahora denominados de Competencia Internacional y los Programas de Alto Nivel-Reconocimiento Nacional o Consolidados. En este caso el PIFOP se convierte en Programa de Fomento a la Calidad en donde se da atención a los programas de posgrado en Consolidación y a los de Reciente Creación.</w:t>
      </w:r>
    </w:p>
    <w:p w:rsidR="00356E67" w:rsidRDefault="00356E67" w:rsidP="00E16642"/>
    <w:p w:rsidR="00693F79" w:rsidRPr="00EB5CF0" w:rsidRDefault="00693F79" w:rsidP="00693F79">
      <w:pPr>
        <w:rPr>
          <w:rFonts w:eastAsia="Times New Roman"/>
          <w:iCs/>
          <w:lang w:eastAsia="es-ES"/>
        </w:rPr>
      </w:pPr>
      <w:r w:rsidRPr="00EB5CF0">
        <w:rPr>
          <w:rFonts w:eastAsia="Times New Roman"/>
          <w:iCs/>
          <w:lang w:eastAsia="es-ES"/>
        </w:rPr>
        <w:t xml:space="preserve">De acuerdo con la SES y el </w:t>
      </w:r>
      <w:proofErr w:type="spellStart"/>
      <w:r w:rsidRPr="00EB5CF0">
        <w:rPr>
          <w:rFonts w:eastAsia="Times New Roman"/>
          <w:iCs/>
          <w:lang w:eastAsia="es-ES"/>
        </w:rPr>
        <w:t>CONACyT</w:t>
      </w:r>
      <w:proofErr w:type="spellEnd"/>
      <w:r w:rsidRPr="00EB5CF0">
        <w:rPr>
          <w:rFonts w:eastAsia="Times New Roman"/>
          <w:iCs/>
          <w:lang w:eastAsia="es-ES"/>
        </w:rPr>
        <w:t xml:space="preserve"> </w:t>
      </w:r>
      <w:sdt>
        <w:sdtPr>
          <w:rPr>
            <w:rFonts w:eastAsia="Times New Roman"/>
            <w:iCs/>
            <w:lang w:eastAsia="es-ES"/>
          </w:rPr>
          <w:id w:val="1229928"/>
          <w:citation/>
        </w:sdtPr>
        <w:sdtEndPr/>
        <w:sdtContent>
          <w:r w:rsidRPr="00EB5CF0">
            <w:rPr>
              <w:rFonts w:eastAsia="Times New Roman"/>
              <w:iCs/>
              <w:lang w:eastAsia="es-ES"/>
            </w:rPr>
            <w:fldChar w:fldCharType="begin"/>
          </w:r>
          <w:r w:rsidRPr="00EB5CF0">
            <w:rPr>
              <w:rFonts w:eastAsia="Times New Roman"/>
              <w:iCs/>
              <w:lang w:eastAsia="es-ES"/>
            </w:rPr>
            <w:instrText xml:space="preserve"> CITATION SES09 \n  \t  \l 2058  </w:instrText>
          </w:r>
          <w:r w:rsidRPr="00EB5CF0">
            <w:rPr>
              <w:rFonts w:eastAsia="Times New Roman"/>
              <w:iCs/>
              <w:lang w:eastAsia="es-ES"/>
            </w:rPr>
            <w:fldChar w:fldCharType="separate"/>
          </w:r>
          <w:r w:rsidRPr="00EB5CF0">
            <w:rPr>
              <w:rFonts w:eastAsia="Times New Roman"/>
              <w:noProof/>
              <w:lang w:eastAsia="es-ES"/>
            </w:rPr>
            <w:t>(2009)</w:t>
          </w:r>
          <w:r w:rsidRPr="00EB5CF0">
            <w:rPr>
              <w:rFonts w:eastAsia="Times New Roman"/>
              <w:iCs/>
              <w:lang w:eastAsia="es-ES"/>
            </w:rPr>
            <w:fldChar w:fldCharType="end"/>
          </w:r>
        </w:sdtContent>
      </w:sdt>
      <w:r w:rsidRPr="00EB5CF0">
        <w:rPr>
          <w:rFonts w:eastAsia="Times New Roman"/>
          <w:iCs/>
          <w:lang w:eastAsia="es-ES"/>
        </w:rPr>
        <w:t xml:space="preserve">, para la operación del PNPC se establecieron un Padrón y una Estrategia. Es el Padrón Nacional de Posgrado (PNP) que agrupa los </w:t>
      </w:r>
      <w:r w:rsidRPr="00EB5CF0">
        <w:rPr>
          <w:rFonts w:eastAsia="Times New Roman"/>
          <w:i/>
          <w:iCs/>
          <w:lang w:eastAsia="es-ES"/>
        </w:rPr>
        <w:t>Programas de Competencia Internacional</w:t>
      </w:r>
      <w:r w:rsidRPr="00EB5CF0">
        <w:rPr>
          <w:rFonts w:eastAsia="Times New Roman"/>
          <w:iCs/>
          <w:lang w:eastAsia="es-ES"/>
        </w:rPr>
        <w:t xml:space="preserve">, los cuales ya están consolidados y tienen colaboraciones en el ámbito internacional con instituciones homólogas por medio de convenios como la movilidad estudiantil y profesoral, codirección de tesis y proyectos de investigación conjuntos; y los </w:t>
      </w:r>
      <w:r w:rsidRPr="00EB5CF0">
        <w:rPr>
          <w:rFonts w:eastAsia="Times New Roman"/>
          <w:i/>
          <w:iCs/>
          <w:lang w:eastAsia="es-ES"/>
        </w:rPr>
        <w:t>Programas Consolidados</w:t>
      </w:r>
      <w:r w:rsidRPr="00EB5CF0">
        <w:rPr>
          <w:rFonts w:eastAsia="Times New Roman"/>
          <w:iCs/>
          <w:lang w:eastAsia="es-ES"/>
        </w:rPr>
        <w:t xml:space="preserve"> que cuentan con reconocimiento nacional por la pertinencia y resultados de tendencia ascendiente en la formación de recursos humanos de alto nivel productividad académica y colaboración con otros sectores de la sociedad, que es la continuación de la política anterior. </w:t>
      </w:r>
    </w:p>
    <w:p w:rsidR="00693F79" w:rsidRPr="00EB5CF0" w:rsidRDefault="00693F79" w:rsidP="00693F79">
      <w:pPr>
        <w:rPr>
          <w:rFonts w:eastAsia="Times New Roman"/>
          <w:iCs/>
          <w:lang w:eastAsia="es-ES"/>
        </w:rPr>
      </w:pPr>
    </w:p>
    <w:p w:rsidR="00693F79" w:rsidRPr="00EB5CF0" w:rsidRDefault="00693F79" w:rsidP="00693F79">
      <w:r w:rsidRPr="00EB5CF0">
        <w:rPr>
          <w:rFonts w:eastAsia="Times New Roman"/>
          <w:iCs/>
          <w:lang w:eastAsia="es-ES"/>
        </w:rPr>
        <w:t xml:space="preserve">La Estrategia es el Programa de Fomento a la Calidad (PFC) que abarca los </w:t>
      </w:r>
      <w:r w:rsidRPr="00EB5CF0">
        <w:rPr>
          <w:rFonts w:eastAsia="Times New Roman"/>
          <w:i/>
          <w:iCs/>
          <w:lang w:eastAsia="es-ES"/>
        </w:rPr>
        <w:t>Programas en Consolidación o en Desarrollo</w:t>
      </w:r>
      <w:r w:rsidRPr="00EB5CF0">
        <w:rPr>
          <w:rFonts w:eastAsia="Times New Roman"/>
          <w:iCs/>
          <w:lang w:eastAsia="es-ES"/>
        </w:rPr>
        <w:t xml:space="preserve"> que tienen prospección académica </w:t>
      </w:r>
      <w:r w:rsidRPr="00EB5CF0">
        <w:rPr>
          <w:rFonts w:eastAsia="Times New Roman"/>
          <w:iCs/>
          <w:lang w:eastAsia="es-ES"/>
        </w:rPr>
        <w:lastRenderedPageBreak/>
        <w:t xml:space="preserve">positiva y sustentada en un plan de mejora que contiene metas factibles en cierto periodo y los </w:t>
      </w:r>
      <w:r w:rsidRPr="00EB5CF0">
        <w:rPr>
          <w:rFonts w:eastAsia="Times New Roman"/>
          <w:i/>
          <w:iCs/>
          <w:lang w:eastAsia="es-ES"/>
        </w:rPr>
        <w:t>Programas de Reciente Creación</w:t>
      </w:r>
      <w:r w:rsidRPr="00EB5CF0">
        <w:rPr>
          <w:rFonts w:eastAsia="Times New Roman"/>
          <w:iCs/>
          <w:lang w:eastAsia="es-ES"/>
        </w:rPr>
        <w:t xml:space="preserve"> que satisfacen los criterios y estándares básicos publicados en el Marco de Referencia del PNPC. Esta nueva estrategia (PFC) incorpora nuevos criterios al PIFOP de la política anterior, por ejemplo, la conceptualización de los diferentes </w:t>
      </w:r>
      <w:r w:rsidRPr="00EB5CF0">
        <w:t xml:space="preserve">niveles de posgrado como especialización, maestría y doctorado </w:t>
      </w:r>
      <w:sdt>
        <w:sdtPr>
          <w:id w:val="4591220"/>
          <w:citation/>
        </w:sdtPr>
        <w:sdtEndPr/>
        <w:sdtContent>
          <w:r w:rsidR="00B20C48">
            <w:fldChar w:fldCharType="begin"/>
          </w:r>
          <w:r w:rsidR="00B20C48">
            <w:instrText xml:space="preserve"> CITATION Morsa \l 2058 </w:instrText>
          </w:r>
          <w:r w:rsidR="00B20C48">
            <w:fldChar w:fldCharType="separate"/>
          </w:r>
          <w:r w:rsidRPr="00EB5CF0">
            <w:rPr>
              <w:noProof/>
            </w:rPr>
            <w:t>(Moreno Bayardo, s. a. )</w:t>
          </w:r>
          <w:r w:rsidR="00B20C48">
            <w:rPr>
              <w:noProof/>
            </w:rPr>
            <w:fldChar w:fldCharType="end"/>
          </w:r>
        </w:sdtContent>
      </w:sdt>
      <w:r>
        <w:t>.</w:t>
      </w:r>
    </w:p>
    <w:p w:rsidR="00693F79" w:rsidRPr="00EB5CF0" w:rsidRDefault="00693F79" w:rsidP="00E16642"/>
    <w:p w:rsidR="00356E67" w:rsidRPr="00EB5CF0" w:rsidRDefault="00356E67" w:rsidP="00E16642">
      <w:r w:rsidRPr="00EB5CF0">
        <w:t>El registro tanto en el PNPC como en el PFC tiene una vigencia máxima de cinco años; los programas aceptados serán sujetos de evaluaciones intermedias y deben tener una página web en la que se proporcione información relativa al programa con actualizaciones por lo menos semestrales</w:t>
      </w:r>
      <w:sdt>
        <w:sdtPr>
          <w:id w:val="11856722"/>
          <w:citation/>
        </w:sdtPr>
        <w:sdtEndPr/>
        <w:sdtContent>
          <w:r w:rsidR="0072146B" w:rsidRPr="00EB5CF0">
            <w:fldChar w:fldCharType="begin"/>
          </w:r>
          <w:r w:rsidRPr="00EB5CF0">
            <w:instrText xml:space="preserve"> CITATION CON08 \l 2058  </w:instrText>
          </w:r>
          <w:r w:rsidR="0072146B" w:rsidRPr="00EB5CF0">
            <w:fldChar w:fldCharType="separate"/>
          </w:r>
          <w:r w:rsidRPr="00EB5CF0">
            <w:rPr>
              <w:noProof/>
            </w:rPr>
            <w:t xml:space="preserve"> (CONACyT &amp; SES, 2008)</w:t>
          </w:r>
          <w:r w:rsidR="0072146B" w:rsidRPr="00EB5CF0">
            <w:fldChar w:fldCharType="end"/>
          </w:r>
        </w:sdtContent>
      </w:sdt>
      <w:r w:rsidRPr="00EB5CF0">
        <w:t>. La información que debe contener dicha página web, es el perfil de egreso; los objetivos generales y particulares del programa posgrado; la estructura del plan de estudios, indicando el nombre de cada curso, el número de créditos, contenidos, la metodología de enseñanza y aprendizaje, los criterios y procedimientos de evaluación, la bibliografía relevante y actualizada; el número de alumnos matriculados; el núcleo académico básico (se sugiere presentar una breve reseña curricular de los participantes); las líneas generación y/o aplicación del conocimiento del programa; el trabajo de tutoría en la que se establece la relación de directores de tesis y de tutores de trabajos de investigación o de trabajo profesional); los procesos administrativos (plazos y procedimientos de preinscripción y matricula) y otros datos de interés para el estudiante sobre el programa (nombre del coordinador del programa, direcciones y teléfonos de contacto, etc.) y la vinculación con otros sectores de la sociedad</w:t>
      </w:r>
      <w:sdt>
        <w:sdtPr>
          <w:id w:val="1230009"/>
          <w:citation/>
        </w:sdtPr>
        <w:sdtEndPr/>
        <w:sdtContent>
          <w:r w:rsidR="0072146B" w:rsidRPr="00EB5CF0">
            <w:fldChar w:fldCharType="begin"/>
          </w:r>
          <w:r w:rsidRPr="00EB5CF0">
            <w:instrText xml:space="preserve"> CITATION CON08 \l 2058  </w:instrText>
          </w:r>
          <w:r w:rsidR="0072146B" w:rsidRPr="00EB5CF0">
            <w:fldChar w:fldCharType="separate"/>
          </w:r>
          <w:r w:rsidRPr="00EB5CF0">
            <w:rPr>
              <w:noProof/>
            </w:rPr>
            <w:t xml:space="preserve"> (CONACyT &amp; SES, 2008)</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Los beneficios que se obtienen al pertenecer al Padrón son varios como el reconocimiento público de su calidad y becas para los alumnos</w:t>
      </w:r>
      <w:sdt>
        <w:sdtPr>
          <w:id w:val="11856723"/>
          <w:citation/>
        </w:sdtPr>
        <w:sdtEndPr/>
        <w:sdtContent>
          <w:r w:rsidR="0072146B" w:rsidRPr="00EB5CF0">
            <w:fldChar w:fldCharType="begin"/>
          </w:r>
          <w:r w:rsidRPr="00EB5CF0">
            <w:instrText xml:space="preserve"> CITATION CON09 \l 2058  </w:instrText>
          </w:r>
          <w:r w:rsidR="0072146B" w:rsidRPr="00EB5CF0">
            <w:fldChar w:fldCharType="separate"/>
          </w:r>
          <w:r w:rsidRPr="00EB5CF0">
            <w:rPr>
              <w:noProof/>
            </w:rPr>
            <w:t xml:space="preserve"> (CONACyT, 2009a)</w:t>
          </w:r>
          <w:r w:rsidR="0072146B" w:rsidRPr="00EB5CF0">
            <w:fldChar w:fldCharType="end"/>
          </w:r>
        </w:sdtContent>
      </w:sdt>
      <w:r w:rsidRPr="00EB5CF0">
        <w:t>. La evaluación de los programas de posgrado que aspiren a ingresar al Padrón o al Programa de Fomento la realiza un Comité de Pares.</w:t>
      </w:r>
    </w:p>
    <w:p w:rsidR="00356E67" w:rsidRPr="00EB5CF0" w:rsidRDefault="00356E67" w:rsidP="00E16642">
      <w:pPr>
        <w:rPr>
          <w:rFonts w:eastAsia="Times New Roman"/>
          <w:lang w:eastAsia="es-ES"/>
        </w:rPr>
      </w:pPr>
    </w:p>
    <w:p w:rsidR="00356E67" w:rsidRPr="00EB5CF0" w:rsidRDefault="00356E67" w:rsidP="00E16642">
      <w:pPr>
        <w:rPr>
          <w:rFonts w:eastAsia="Times New Roman"/>
          <w:lang w:eastAsia="es-ES"/>
        </w:rPr>
      </w:pPr>
      <w:r w:rsidRPr="00EB5CF0">
        <w:rPr>
          <w:rFonts w:eastAsia="Times New Roman"/>
          <w:lang w:eastAsia="es-ES"/>
        </w:rPr>
        <w:lastRenderedPageBreak/>
        <w:t xml:space="preserve">Tanto la evaluación como el seguimiento toman en cuenta tres rubros en su dictamen (figura 3): i) la auto-evaluación del programa, que comprende la presentación de la planeación institucional y el diagnóstico del programa en relación a las categorías y criterios del Modelo del PNPC; ii) el cumplimiento de categorías, criterios y lineamientos de evaluación contenidos en el Marco de Referencia para la Evaluación y Seguimiento de Programas de Posgrado, que incluyen cuatro aspectos ‘facilitadores’ que son: Estructura del Programa; Estudiantes, Personal Académico e Infraestructura y dos rubros sobre producción académica, a saber: Resultados y Cooperación con otros actores de la sociedad y iii) el sistema de garantía de calidad del programa de posgrado que es el Plan de Mejora que permitirá el seguimiento de las correcciones y posibles contingencias de las metas a mediano y largo plazo, así como expedientes del programa y observaciones en caso de tener evaluaciones previas y la entrevista con el coordinador académico del programa </w:t>
      </w:r>
      <w:r w:rsidRPr="00EB5CF0">
        <w:rPr>
          <w:rFonts w:eastAsia="Times New Roman"/>
          <w:noProof/>
          <w:lang w:eastAsia="es-ES"/>
        </w:rPr>
        <w:t>(CONACyT, 2009b; SES &amp;CONACyT, 2009)</w:t>
      </w:r>
      <w:r w:rsidRPr="00EB5CF0">
        <w:rPr>
          <w:rFonts w:eastAsia="Times New Roman"/>
          <w:lang w:eastAsia="es-ES"/>
        </w:rPr>
        <w:t>.</w:t>
      </w:r>
    </w:p>
    <w:p w:rsidR="00356E67" w:rsidRPr="00EB5CF0" w:rsidRDefault="00356E67" w:rsidP="00E16642"/>
    <w:p w:rsidR="00356E67" w:rsidRPr="00693F79" w:rsidRDefault="00356E67" w:rsidP="00693F79">
      <w:pPr>
        <w:jc w:val="center"/>
        <w:rPr>
          <w:sz w:val="22"/>
        </w:rPr>
      </w:pPr>
      <w:r w:rsidRPr="00693F79">
        <w:rPr>
          <w:sz w:val="22"/>
        </w:rPr>
        <w:t>Figura 3. Proceso de evaluación para la incorporación de Programas de Posgrado al PNP.</w:t>
      </w:r>
    </w:p>
    <w:p w:rsidR="00356E67" w:rsidRPr="00EB5CF0" w:rsidRDefault="00356E67" w:rsidP="00E16642">
      <w:r w:rsidRPr="00EB5CF0">
        <w:rPr>
          <w:noProof/>
          <w:lang w:eastAsia="es-MX"/>
        </w:rPr>
        <w:drawing>
          <wp:inline distT="0" distB="0" distL="0" distR="0">
            <wp:extent cx="5398113" cy="1967536"/>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356E67" w:rsidRPr="00427F81" w:rsidRDefault="00356E67" w:rsidP="00693F79">
      <w:pPr>
        <w:ind w:left="708" w:right="900"/>
        <w:rPr>
          <w:sz w:val="20"/>
          <w:szCs w:val="20"/>
        </w:rPr>
      </w:pPr>
      <w:r w:rsidRPr="00427F81">
        <w:rPr>
          <w:sz w:val="20"/>
          <w:szCs w:val="20"/>
        </w:rPr>
        <w:t>Fuente: Elaboración propia. Explica los tres puntos que se evalúan a los programas de posgrado aspirantes a ingresar al Padrón Nacional de Posgrado, dentro de los criterios que establece el Marco de Referencia se observan los puntos que son facilitadores y los que evalúan la producción académica.</w:t>
      </w:r>
    </w:p>
    <w:p w:rsidR="00356E67" w:rsidRPr="00EB5CF0" w:rsidRDefault="00356E67" w:rsidP="00E16642"/>
    <w:p w:rsidR="00356E67" w:rsidRPr="00EB5CF0" w:rsidRDefault="00356E67" w:rsidP="00E16642"/>
    <w:p w:rsidR="00693F79" w:rsidRDefault="00693F79" w:rsidP="00E16642">
      <w:pPr>
        <w:rPr>
          <w:b/>
        </w:rPr>
      </w:pPr>
      <w:bookmarkStart w:id="36" w:name="_Toc300001343"/>
    </w:p>
    <w:p w:rsidR="00356E67" w:rsidRPr="00E268C6" w:rsidRDefault="00436C36" w:rsidP="00E16642">
      <w:pPr>
        <w:rPr>
          <w:b/>
        </w:rPr>
      </w:pPr>
      <w:r w:rsidRPr="00E268C6">
        <w:rPr>
          <w:b/>
        </w:rPr>
        <w:lastRenderedPageBreak/>
        <w:t>Evaluación y seguimiento del PNPC</w:t>
      </w:r>
      <w:bookmarkEnd w:id="36"/>
    </w:p>
    <w:p w:rsidR="00356E67" w:rsidRPr="00EB5CF0" w:rsidRDefault="00356E67" w:rsidP="00E16642"/>
    <w:p w:rsidR="00356E67" w:rsidRPr="00EB5CF0" w:rsidRDefault="00356E67" w:rsidP="00E16642">
      <w:r w:rsidRPr="00EB5CF0">
        <w:t xml:space="preserve">Para realizar los trabajos de evaluación y seguimiento a los programas de posgrado interesados en formar parte del Padrón Nacional se tiene el Marco de Referencia para la Evaluación y Seguimiento del PNPC </w:t>
      </w:r>
      <w:sdt>
        <w:sdtPr>
          <w:id w:val="1229936"/>
          <w:citation/>
        </w:sdtPr>
        <w:sdtEndPr/>
        <w:sdtContent>
          <w:r w:rsidR="0072146B" w:rsidRPr="00EB5CF0">
            <w:fldChar w:fldCharType="begin"/>
          </w:r>
          <w:r w:rsidRPr="00EB5CF0">
            <w:instrText xml:space="preserve"> CITATION CON08 \l 2058  </w:instrText>
          </w:r>
          <w:r w:rsidR="0072146B" w:rsidRPr="00EB5CF0">
            <w:fldChar w:fldCharType="separate"/>
          </w:r>
          <w:r w:rsidRPr="00EB5CF0">
            <w:rPr>
              <w:noProof/>
            </w:rPr>
            <w:t>(CONACyT &amp; SES, 2008)</w:t>
          </w:r>
          <w:r w:rsidR="0072146B" w:rsidRPr="00EB5CF0">
            <w:fldChar w:fldCharType="end"/>
          </w:r>
        </w:sdtContent>
      </w:sdt>
      <w:r w:rsidRPr="00EB5CF0">
        <w:t xml:space="preserve">, en él se encuentra la </w:t>
      </w:r>
      <w:r w:rsidRPr="00EB5CF0">
        <w:rPr>
          <w:i/>
          <w:iCs/>
        </w:rPr>
        <w:t xml:space="preserve">Metodología General del Programa Nacional de Posgrados de Calidad (PNPC), </w:t>
      </w:r>
      <w:r w:rsidRPr="00EB5CF0">
        <w:rPr>
          <w:iCs/>
        </w:rPr>
        <w:t xml:space="preserve">entiéndase en este caso una serie de pasos o rubros que permiten realizar </w:t>
      </w:r>
      <w:r w:rsidRPr="00EB5CF0">
        <w:t xml:space="preserve">la evaluación y seguimiento; además tiene el propósito de reconocer la </w:t>
      </w:r>
      <w:r w:rsidRPr="00EB5CF0">
        <w:rPr>
          <w:i/>
        </w:rPr>
        <w:t xml:space="preserve">capacidad formadora </w:t>
      </w:r>
      <w:r w:rsidRPr="00EB5CF0">
        <w:t>de los programas de posgrado en términos de pertinencia y calidad en el desarrollo de competencias. De acuerdo con el documento, es un método general de evaluación y seguimiento que se puede aplicar a los programas de posgrado de manera independiente del área de conocimiento o disciplina tratada.</w:t>
      </w:r>
    </w:p>
    <w:p w:rsidR="00356E67" w:rsidRPr="00EB5CF0" w:rsidRDefault="00356E67" w:rsidP="00E16642"/>
    <w:p w:rsidR="00356E67" w:rsidRPr="00EB5CF0" w:rsidRDefault="00356E67" w:rsidP="00E16642">
      <w:r w:rsidRPr="00EB5CF0">
        <w:t>Sin embargo, desde la evaluación de acuerdo a la orientación del programa de posgrado, categorización establecida por el mismo CONACyT, la Metodología General del PNPC publicada en 2008 (última edición) tiene vacíos informativos.</w:t>
      </w:r>
    </w:p>
    <w:p w:rsidR="00356E67" w:rsidRPr="00EB5CF0" w:rsidRDefault="00356E67" w:rsidP="00E16642"/>
    <w:p w:rsidR="00356E67" w:rsidRPr="00EB5CF0" w:rsidRDefault="00356E67" w:rsidP="00E16642">
      <w:pPr>
        <w:rPr>
          <w:i/>
        </w:rPr>
      </w:pPr>
      <w:r w:rsidRPr="00EB5CF0">
        <w:t xml:space="preserve">Además el COMEPO </w:t>
      </w:r>
      <w:sdt>
        <w:sdtPr>
          <w:id w:val="3944002"/>
          <w:citation/>
        </w:sdtPr>
        <w:sdtEndPr/>
        <w:sdtContent>
          <w:r w:rsidR="0072146B" w:rsidRPr="00EB5CF0">
            <w:fldChar w:fldCharType="begin"/>
          </w:r>
          <w:r w:rsidRPr="00EB5CF0">
            <w:instrText xml:space="preserve"> CITATION COM7b \n  \t  \l 2058  </w:instrText>
          </w:r>
          <w:r w:rsidR="0072146B" w:rsidRPr="00EB5CF0">
            <w:fldChar w:fldCharType="separate"/>
          </w:r>
          <w:r w:rsidRPr="00EB5CF0">
            <w:rPr>
              <w:noProof/>
            </w:rPr>
            <w:t>(2007b)</w:t>
          </w:r>
          <w:r w:rsidR="0072146B" w:rsidRPr="00EB5CF0">
            <w:fldChar w:fldCharType="end"/>
          </w:r>
        </w:sdtContent>
      </w:sdt>
      <w:r w:rsidRPr="00EB5CF0">
        <w:t xml:space="preserve"> indica que se ha cuestionado en diferentes foros de análisis el procedimiento para evaluar al posgrado nacional, ya que </w:t>
      </w:r>
      <w:r w:rsidR="00AB32CA">
        <w:t>solo</w:t>
      </w:r>
      <w:r w:rsidRPr="00EB5CF0">
        <w:t xml:space="preserve"> tiene una matriz que no toma en cuenta las diferencias entre los programas. Asimismo considera que la falta de condiciones precisas en las que deben operar los programas incide en que no se resuelvan las debilidades de los mismos.</w:t>
      </w:r>
    </w:p>
    <w:p w:rsidR="00356E67" w:rsidRPr="00EB5CF0" w:rsidRDefault="00356E67" w:rsidP="00E16642"/>
    <w:p w:rsidR="00356E67" w:rsidRPr="00EB5CF0" w:rsidRDefault="00356E67" w:rsidP="00E16642">
      <w:r w:rsidRPr="00EB5CF0">
        <w:t xml:space="preserve">Es por lo anterior que dentro del mismo CONACyT se cuenta con el Foro Consultivo de Ciencia y Tecnología, que es un órgano de consulta permanente para el Consejo (además para otras entidades como el Poder Ejecutivo Federal y el Consejo General de Investigación Científica y Desarrollo Tecnológico). Dentro del Foro se ha organizado un grupo de trabajo dedicado a analizar el posgrado nacional. Uno de sus objetivos es revisar los criterios de evaluación del PNPC y determinar si es necesario establecer diferentes parámetros para evaluar a los </w:t>
      </w:r>
      <w:r w:rsidRPr="00EB5CF0">
        <w:lastRenderedPageBreak/>
        <w:t xml:space="preserve">posgrados de acuerdo a su área de conocimiento (también podría afectar en la orientación de los posgrados), está conformado por siete grupos de acuerdo a las áreas del SNI. González Juárez </w:t>
      </w:r>
      <w:sdt>
        <w:sdtPr>
          <w:id w:val="6978440"/>
          <w:citation/>
        </w:sdtPr>
        <w:sdtEndPr/>
        <w:sdtContent>
          <w:r w:rsidR="0072146B" w:rsidRPr="00EB5CF0">
            <w:fldChar w:fldCharType="begin"/>
          </w:r>
          <w:r w:rsidRPr="00EB5CF0">
            <w:instrText xml:space="preserve"> CITATION Gon091 \n  \t  \l 2058  </w:instrText>
          </w:r>
          <w:r w:rsidR="0072146B" w:rsidRPr="00EB5CF0">
            <w:fldChar w:fldCharType="separate"/>
          </w:r>
          <w:r w:rsidRPr="00EB5CF0">
            <w:rPr>
              <w:noProof/>
            </w:rPr>
            <w:t>(2009)</w:t>
          </w:r>
          <w:r w:rsidR="0072146B" w:rsidRPr="00EB5CF0">
            <w:fldChar w:fldCharType="end"/>
          </w:r>
        </w:sdtContent>
      </w:sdt>
      <w:r w:rsidRPr="00EB5CF0">
        <w:t xml:space="preserve"> presentó en el XXIII Congreso Nacional de Posgrado algunas de las conclusiones de estos siete grupos.</w:t>
      </w:r>
    </w:p>
    <w:p w:rsidR="00356E67" w:rsidRPr="00EB5CF0" w:rsidRDefault="00356E67" w:rsidP="00E16642"/>
    <w:p w:rsidR="00356E67" w:rsidRPr="00EB5CF0" w:rsidRDefault="00356E67" w:rsidP="00E16642">
      <w:r w:rsidRPr="00EB5CF0">
        <w:t xml:space="preserve">Los puntos centrales de esa revisión fueron: los tiempos de graduación, la ponderación de las categorías, los criterios e indicadores del Marco de Referencia y del Anexo A del PNPC, y las consideraciones nacionales, regionales e institucionales que diferencian a los diversos programas de posgrado que se ofertan en el país. </w:t>
      </w:r>
    </w:p>
    <w:p w:rsidR="00356E67" w:rsidRPr="00EB5CF0" w:rsidRDefault="00356E67" w:rsidP="00E16642"/>
    <w:p w:rsidR="00356E67" w:rsidRPr="00EB5CF0" w:rsidRDefault="00356E67" w:rsidP="00E16642">
      <w:r w:rsidRPr="00EB5CF0">
        <w:t xml:space="preserve">Entre las conclusiones se destaca algo que ya se había mencionado en este documento, que los parámetros de evaluación son poco claros; además dicen que se tiende a evaluar aspectos de corte cuantitativo lo cual genera la posibilidad de que los posgrados simulen los indicadores para que puedan clasificar o sean manipulados algunos procesos; por ejemplo la titulación para elevar la velocidad de la tasa de graduación. Por ello proponen que se debe promover la retroalimentación de los pares que evalúan los programas sobre las oportunidades y fortalezas identificadas, además de seguir tomando en cuenta las cuestiones cuantitativas. </w:t>
      </w:r>
    </w:p>
    <w:p w:rsidR="00356E67" w:rsidRPr="00EB5CF0" w:rsidRDefault="00356E67" w:rsidP="00E16642"/>
    <w:p w:rsidR="00356E67" w:rsidRPr="00EB5CF0" w:rsidRDefault="00356E67" w:rsidP="00E16642">
      <w:r w:rsidRPr="00EB5CF0">
        <w:t>Otro de los trabajos realizados a instancia del Foro Consultivo Científico y  el COMEPO fue el del Grupo de Enfoque, un glosario de términos del PNPC</w:t>
      </w:r>
      <w:sdt>
        <w:sdtPr>
          <w:id w:val="6978458"/>
          <w:citation/>
        </w:sdtPr>
        <w:sdtEndPr/>
        <w:sdtContent>
          <w:r w:rsidR="0072146B" w:rsidRPr="00EB5CF0">
            <w:fldChar w:fldCharType="begin"/>
          </w:r>
          <w:r w:rsidRPr="00EB5CF0">
            <w:instrText xml:space="preserve"> CITATION CON11 \l 2058 </w:instrText>
          </w:r>
          <w:r w:rsidR="0072146B" w:rsidRPr="00EB5CF0">
            <w:fldChar w:fldCharType="separate"/>
          </w:r>
          <w:r w:rsidRPr="00EB5CF0">
            <w:rPr>
              <w:noProof/>
            </w:rPr>
            <w:t xml:space="preserve"> (CONACyT, 2011)</w:t>
          </w:r>
          <w:r w:rsidR="0072146B" w:rsidRPr="00EB5CF0">
            <w:fldChar w:fldCharType="end"/>
          </w:r>
        </w:sdtContent>
      </w:sdt>
      <w:r w:rsidRPr="00EB5CF0">
        <w:t xml:space="preserve"> “con la finalidad de subsanar las dificultades que pueden derivarse en la interpretación de los criterios del Marco de la Referencia” al cual también se recurrió para este capítulo</w:t>
      </w:r>
      <w:r w:rsidRPr="00EB5CF0">
        <w:rPr>
          <w:rStyle w:val="Refdenotaalpie"/>
          <w:rFonts w:cs="Arial"/>
          <w:szCs w:val="24"/>
        </w:rPr>
        <w:footnoteReference w:id="21"/>
      </w:r>
      <w:r w:rsidRPr="00EB5CF0">
        <w:t>.</w:t>
      </w:r>
    </w:p>
    <w:p w:rsidR="00356E67" w:rsidRPr="00EB5CF0" w:rsidRDefault="00356E67" w:rsidP="00E16642"/>
    <w:p w:rsidR="00356E67" w:rsidRPr="00EB5CF0" w:rsidRDefault="00356E67" w:rsidP="00E16642">
      <w:r w:rsidRPr="00EB5CF0">
        <w:t xml:space="preserve">En este apartado, se presenta una propuesta para coadyuvar en el entendimiento de los criterios que evalúa el CONACyT desde la división por orientación de los </w:t>
      </w:r>
      <w:r w:rsidRPr="00EB5CF0">
        <w:lastRenderedPageBreak/>
        <w:t>programas, retomando documentos del mismo Consejo y de los trabajos realizados por organizaciones como el Foro Consultivo, el COMEPO o por especialistas del tema, además el documento Estrategia Nacional de Autoevaluación. Es importante mencionar que dichos documentos no se presentan dentro de los que el CONACyT provee a los coordinadores de programas de posgrado interesados en inscribirse al PNPC, incluso algunos del mismo CONACyT tuvieron que ser obtenidos de bases de datos de otras instituciones académicas, por ello, este documento también puede servir de consulta en caso de querer incorporarse al PNPC. Para iniciar se establecerán las diferencias entre los programas con orientación a la investigación y los programas con orientación profesionalizante.</w:t>
      </w:r>
    </w:p>
    <w:p w:rsidR="00356E67" w:rsidRPr="00EB5CF0" w:rsidRDefault="00356E67" w:rsidP="00E16642"/>
    <w:p w:rsidR="00366FC1" w:rsidRDefault="00366FC1" w:rsidP="00E16642">
      <w:pPr>
        <w:rPr>
          <w:b/>
        </w:rPr>
      </w:pPr>
      <w:bookmarkStart w:id="37" w:name="_Toc300001344"/>
    </w:p>
    <w:p w:rsidR="00356E67" w:rsidRPr="00E268C6" w:rsidRDefault="00356E67" w:rsidP="00E16642">
      <w:pPr>
        <w:rPr>
          <w:b/>
        </w:rPr>
      </w:pPr>
      <w:r w:rsidRPr="00E268C6">
        <w:rPr>
          <w:b/>
        </w:rPr>
        <w:t>Programas reconocidos por el CONACyT</w:t>
      </w:r>
      <w:bookmarkEnd w:id="37"/>
    </w:p>
    <w:p w:rsidR="00356E67" w:rsidRPr="00EB5CF0" w:rsidRDefault="00356E67" w:rsidP="00E16642"/>
    <w:p w:rsidR="00356E67" w:rsidRPr="00EB5CF0" w:rsidRDefault="00356E67" w:rsidP="00E16642">
      <w:r w:rsidRPr="00EB5CF0">
        <w:t xml:space="preserve">Como se mencionó anteriormente, desde el Programa al Fomento del Posgrado nacional y actualmente en el Programa Nacional de Posgrados de Calidad, se consideran dos tipos de orientación del posgrado: los </w:t>
      </w:r>
      <w:r w:rsidRPr="00EB5CF0">
        <w:rPr>
          <w:i/>
          <w:iCs/>
        </w:rPr>
        <w:t xml:space="preserve">Programas con Orientación Profesional </w:t>
      </w:r>
      <w:r w:rsidRPr="00EB5CF0">
        <w:rPr>
          <w:iCs/>
        </w:rPr>
        <w:t>(</w:t>
      </w:r>
      <w:proofErr w:type="spellStart"/>
      <w:r w:rsidRPr="00EB5CF0">
        <w:rPr>
          <w:iCs/>
        </w:rPr>
        <w:t>PrgOP</w:t>
      </w:r>
      <w:proofErr w:type="spellEnd"/>
      <w:r w:rsidRPr="00EB5CF0">
        <w:rPr>
          <w:iCs/>
        </w:rPr>
        <w:t>)</w:t>
      </w:r>
      <w:r w:rsidRPr="00EB5CF0">
        <w:rPr>
          <w:i/>
          <w:iCs/>
        </w:rPr>
        <w:t xml:space="preserve">, </w:t>
      </w:r>
      <w:r w:rsidRPr="00EB5CF0">
        <w:t xml:space="preserve">que ofrecen los niveles de especialidad o de maestría, a través de la triada formación-desempeño del trabajo profesional-vinculación y los </w:t>
      </w:r>
      <w:r w:rsidRPr="00EB5CF0">
        <w:rPr>
          <w:i/>
          <w:iCs/>
        </w:rPr>
        <w:t xml:space="preserve">Programas con Orientación a la Investigación </w:t>
      </w:r>
      <w:r w:rsidRPr="00EB5CF0">
        <w:rPr>
          <w:iCs/>
        </w:rPr>
        <w:t>(</w:t>
      </w:r>
      <w:proofErr w:type="spellStart"/>
      <w:r w:rsidRPr="00EB5CF0">
        <w:rPr>
          <w:iCs/>
        </w:rPr>
        <w:t>PrgOI</w:t>
      </w:r>
      <w:proofErr w:type="spellEnd"/>
      <w:r w:rsidRPr="00EB5CF0">
        <w:rPr>
          <w:iCs/>
        </w:rPr>
        <w:t>)</w:t>
      </w:r>
      <w:r w:rsidRPr="00EB5CF0">
        <w:rPr>
          <w:i/>
          <w:iCs/>
        </w:rPr>
        <w:t xml:space="preserve">, </w:t>
      </w:r>
      <w:r w:rsidRPr="00EB5CF0">
        <w:t>que ofrecen los niveles de maestría o de doctorado, basados en la formación-investigación-innovación</w:t>
      </w:r>
      <w:r w:rsidRPr="00EB5CF0">
        <w:rPr>
          <w:rStyle w:val="Refdenotaalpie"/>
          <w:rFonts w:cs="Arial"/>
          <w:szCs w:val="24"/>
        </w:rPr>
        <w:footnoteReference w:id="22"/>
      </w:r>
      <w:sdt>
        <w:sdtPr>
          <w:rPr>
            <w:vertAlign w:val="superscript"/>
          </w:rPr>
          <w:id w:val="1229987"/>
          <w:citation/>
        </w:sdtPr>
        <w:sdtEndPr/>
        <w:sdtContent>
          <w:r w:rsidR="0072146B" w:rsidRPr="00EB5CF0">
            <w:fldChar w:fldCharType="begin"/>
          </w:r>
          <w:r w:rsidRPr="00EB5CF0">
            <w:instrText xml:space="preserve"> CITATION CON08 \l 2058  </w:instrText>
          </w:r>
          <w:r w:rsidR="0072146B" w:rsidRPr="00EB5CF0">
            <w:fldChar w:fldCharType="separate"/>
          </w:r>
          <w:r w:rsidRPr="00EB5CF0">
            <w:rPr>
              <w:noProof/>
            </w:rPr>
            <w:t xml:space="preserve"> (CONACyT &amp; SES, 2008)</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p w:rsidR="00425280" w:rsidRDefault="00425280" w:rsidP="00E16642">
      <w:pPr>
        <w:pStyle w:val="Ttulo3"/>
      </w:pPr>
      <w:bookmarkStart w:id="38" w:name="_Toc308691493"/>
    </w:p>
    <w:p w:rsidR="00356E67" w:rsidRPr="00EB5CF0" w:rsidRDefault="00356E67" w:rsidP="00E16642">
      <w:pPr>
        <w:pStyle w:val="Ttulo3"/>
      </w:pPr>
      <w:r w:rsidRPr="00EB5CF0">
        <w:t>Programas con Orientación Profesional.</w:t>
      </w:r>
      <w:bookmarkEnd w:id="38"/>
    </w:p>
    <w:p w:rsidR="00356E67" w:rsidRPr="00EB5CF0" w:rsidRDefault="00356E67" w:rsidP="00E16642"/>
    <w:p w:rsidR="00356E67" w:rsidRPr="00EB5CF0" w:rsidRDefault="00356E67" w:rsidP="00E16642">
      <w:r w:rsidRPr="00EB5CF0">
        <w:rPr>
          <w:lang w:eastAsia="es-ES"/>
        </w:rPr>
        <w:t xml:space="preserve">De acuerdo con el glosario de términos del PNPC </w:t>
      </w:r>
      <w:sdt>
        <w:sdtPr>
          <w:rPr>
            <w:lang w:eastAsia="es-ES"/>
          </w:rPr>
          <w:id w:val="6978460"/>
          <w:citation/>
        </w:sdtPr>
        <w:sdtEndPr/>
        <w:sdtContent>
          <w:r w:rsidR="0072146B" w:rsidRPr="00EB5CF0">
            <w:rPr>
              <w:lang w:eastAsia="es-ES"/>
            </w:rPr>
            <w:fldChar w:fldCharType="begin"/>
          </w:r>
          <w:r w:rsidRPr="00EB5CF0">
            <w:rPr>
              <w:lang w:eastAsia="es-ES"/>
            </w:rPr>
            <w:instrText xml:space="preserve"> CITATION CON11 \p 16 \l 2058  </w:instrText>
          </w:r>
          <w:r w:rsidR="0072146B" w:rsidRPr="00EB5CF0">
            <w:rPr>
              <w:lang w:eastAsia="es-ES"/>
            </w:rPr>
            <w:fldChar w:fldCharType="separate"/>
          </w:r>
          <w:r w:rsidRPr="00EB5CF0">
            <w:rPr>
              <w:noProof/>
              <w:lang w:eastAsia="es-ES"/>
            </w:rPr>
            <w:t>(CONACyT, 2011, pág. 16)</w:t>
          </w:r>
          <w:r w:rsidR="0072146B" w:rsidRPr="00EB5CF0">
            <w:rPr>
              <w:lang w:eastAsia="es-ES"/>
            </w:rPr>
            <w:fldChar w:fldCharType="end"/>
          </w:r>
        </w:sdtContent>
      </w:sdt>
      <w:r w:rsidRPr="00EB5CF0">
        <w:rPr>
          <w:lang w:eastAsia="es-ES"/>
        </w:rPr>
        <w:t>, “l</w:t>
      </w:r>
      <w:r w:rsidRPr="00EB5CF0">
        <w:t>os posgrados de orientación profesional en los niveles de especialidad o de maestría tienen como finalidad, proporcionar al estudiante una formación amplia y sólida en un campo de conocimiento con una alta capacidad para el ejercicio profesional. Para obtener el grado se debe de hablar de memorias, proyecto terminal, informe de grado o tesinas y estos deben de estar sistemáticamente asociados a trabajos realizados en estancias en laboratorios de investigación, centros de investigación y desarrollo en las empresas, o diferentes lugares relacionados con el ámbito socioeconómico del posgrado como hospitales, centros de educación, estructuras de gobierno, tribunales de justicia, etc. La duración de esta estancia debe también estar bien enmarcada en el plan de estudios y debe de representar alrededor del 25% del tiempo total de la formación establecida en el plan de estudios del programa; para una formación de dos años, se podría pedir estancias de 6 meses. Al final de la estancia y en un periodo máximo de un mes el candidato al posgrado debe entregar un documento escrito (memorias, proyecto terminal, reportes o tesinas) de los trabajos desarrollados durante la estancia. En el mismo periodo de tiempo deberá presentarlo para acreditar el grado. Un marco de este tipo permitirá esencialmente el fortalecimiento de la relación institucional con los sectores de la sociedad asociados con la orientación del programa de posgrado.”</w:t>
      </w:r>
    </w:p>
    <w:p w:rsidR="00356E67" w:rsidRPr="00EB5CF0" w:rsidRDefault="00356E67" w:rsidP="00E16642"/>
    <w:p w:rsidR="00356E67" w:rsidRPr="00EB5CF0" w:rsidRDefault="00356E67" w:rsidP="00E16642">
      <w:r w:rsidRPr="00EB5CF0">
        <w:t xml:space="preserve">Los </w:t>
      </w:r>
      <w:r w:rsidRPr="00EB5CF0">
        <w:rPr>
          <w:i/>
          <w:iCs/>
        </w:rPr>
        <w:t xml:space="preserve">programas de nivel de especialidad </w:t>
      </w:r>
      <w:r w:rsidRPr="00EB5CF0">
        <w:t xml:space="preserve">capacitan al egresado para el trabajo profesional sobre uno o varios temas en los que se profundiza el conocimiento y se adiestra en la solución de problemas concretos de su área laboral, lo anterior a través de talleres, cursos integradores, laboratorios, prácticas de campo, programas de auto-aprendizaje, etc. Para acreditar una especialidad, los estudiantes habrán de demostrar capacidad de proponer soluciones a problemas concretos a través de un proyecto terminal de carácter profesional </w:t>
      </w:r>
      <w:sdt>
        <w:sdtPr>
          <w:id w:val="1067532"/>
          <w:citation/>
        </w:sdtPr>
        <w:sdtEndPr/>
        <w:sdtContent>
          <w:r w:rsidR="0072146B" w:rsidRPr="00EB5CF0">
            <w:fldChar w:fldCharType="begin"/>
          </w:r>
          <w:r w:rsidRPr="00EB5CF0">
            <w:instrText xml:space="preserve"> CITATION CONsa \l 2058  </w:instrText>
          </w:r>
          <w:r w:rsidR="0072146B" w:rsidRPr="00EB5CF0">
            <w:fldChar w:fldCharType="separate"/>
          </w:r>
          <w:r w:rsidRPr="00EB5CF0">
            <w:rPr>
              <w:noProof/>
            </w:rPr>
            <w:t>(CONACyT, s. a.)</w:t>
          </w:r>
          <w:r w:rsidR="0072146B" w:rsidRPr="00EB5CF0">
            <w:fldChar w:fldCharType="end"/>
          </w:r>
        </w:sdtContent>
      </w:sdt>
      <w:r w:rsidRPr="00EB5CF0">
        <w:t xml:space="preserve">. </w:t>
      </w:r>
    </w:p>
    <w:p w:rsidR="00356E67" w:rsidRPr="00EB5CF0" w:rsidRDefault="00356E67" w:rsidP="00E16642"/>
    <w:p w:rsidR="00356E67" w:rsidRPr="00EB5CF0" w:rsidRDefault="00356E67" w:rsidP="00E16642">
      <w:r w:rsidRPr="00EB5CF0">
        <w:t xml:space="preserve">Los </w:t>
      </w:r>
      <w:r w:rsidRPr="00EB5CF0">
        <w:rPr>
          <w:i/>
          <w:iCs/>
        </w:rPr>
        <w:t xml:space="preserve">programas de maestría </w:t>
      </w:r>
      <w:r w:rsidRPr="00EB5CF0">
        <w:rPr>
          <w:i/>
        </w:rPr>
        <w:t>con orientación profesional</w:t>
      </w:r>
      <w:r w:rsidRPr="00EB5CF0">
        <w:t xml:space="preserve"> permiten a ampliar los conocimientos en una especialidad, campo o disciplina, a través de la profundización y desarrollo de competencias (conocimiento, capacidades, habilidades, destrezas, actitudes y aptitudes). Permiten al estudiante aplicar de manera innovadora el conocimiento científico o técnico obtenido en la  solución de problemas concretos de la ocupación específica de su profesión. Durante su proceso de formación, los estudiantes participarán en proyectos terminales de carácter profesional, docente o empresarial conducidos por los profesores y al término del programa será necesario que demuestren capacidad para desarrollar proyectos con características similares a las de los antes mencionados, en el caso de los posgrados deberán demostrar vinculación con los sectores público, social, productivo, de servicios o tecnológico. En esta modalidad deber haber equilibrio entre cursos y seminarios dirigidos a ampliar las bases teóricas y las actividades prácticas para el adiestramiento metodológico, aunque no sea un programa pensado como plataforma para continuar con estudios de doctorado </w:t>
      </w:r>
      <w:r w:rsidRPr="00EB5CF0">
        <w:rPr>
          <w:noProof/>
        </w:rPr>
        <w:t>(CONACyT, s. a.; H. Consejo Universitario. Universidad Autónoma de Guerrero, 2005)</w:t>
      </w:r>
      <w:r w:rsidRPr="00EB5CF0">
        <w:t xml:space="preserve">. </w:t>
      </w:r>
    </w:p>
    <w:p w:rsidR="00356E67" w:rsidRDefault="00356E67" w:rsidP="00E16642"/>
    <w:p w:rsidR="00356E67" w:rsidRPr="00EB5CF0" w:rsidRDefault="00356E67" w:rsidP="00E16642">
      <w:r w:rsidRPr="00EB5CF0">
        <w:t xml:space="preserve">En pocas palabras en los niveles de especialidad y maestría con orientación profesionalizante se perfeccionarán las competencias profesionales. En políticas anteriores del CONACyT se tenían, entre otras, las categorías de </w:t>
      </w:r>
      <w:r w:rsidRPr="00EB5CF0">
        <w:rPr>
          <w:i/>
        </w:rPr>
        <w:t>programas prácticos</w:t>
      </w:r>
      <w:r w:rsidRPr="00EB5CF0">
        <w:t xml:space="preserve"> y</w:t>
      </w:r>
      <w:r w:rsidRPr="00EB5CF0">
        <w:rPr>
          <w:i/>
        </w:rPr>
        <w:t xml:space="preserve"> programas prácticos individualizados</w:t>
      </w:r>
      <w:r w:rsidRPr="00EB5CF0">
        <w:t xml:space="preserve"> que pueden tomarse como símil de la especialidad y la maestría para ampliar la descripción de estos niveles. </w:t>
      </w:r>
    </w:p>
    <w:p w:rsidR="00356E67" w:rsidRPr="00EB5CF0" w:rsidRDefault="00356E67" w:rsidP="00E16642"/>
    <w:p w:rsidR="00356E67" w:rsidRPr="00EB5CF0" w:rsidRDefault="00356E67" w:rsidP="00E16642">
      <w:r w:rsidRPr="00EB5CF0">
        <w:t>En ambos casos (</w:t>
      </w:r>
      <w:r w:rsidRPr="00EB5CF0">
        <w:rPr>
          <w:i/>
        </w:rPr>
        <w:t>programas prácticos y programas prácticos individualizados</w:t>
      </w:r>
      <w:r w:rsidRPr="00EB5CF0">
        <w:t xml:space="preserve">) los egresados se dedicarán generalmente a la práctica profesional y en los planes de estudio hay un una menor cantidad de cursos básicos en ciencias y humanidades que en otros programas; la diferencia entre ellos radica en que en el primer tipo, la atención al alumno no es individual sino grupal; mientras que en los </w:t>
      </w:r>
      <w:r w:rsidRPr="00EB5CF0">
        <w:rPr>
          <w:i/>
        </w:rPr>
        <w:t>prácticos individualizados</w:t>
      </w:r>
      <w:r w:rsidRPr="00EB5CF0">
        <w:t xml:space="preserve"> existen cursos que consideran atención dirigida por alumno (ver Figura 4). </w:t>
      </w:r>
    </w:p>
    <w:p w:rsidR="00356E67" w:rsidRPr="00EB5CF0" w:rsidRDefault="00356E67" w:rsidP="00E16642"/>
    <w:p w:rsidR="00356E67" w:rsidRPr="00EB5CF0" w:rsidRDefault="00356E67" w:rsidP="00E16642">
      <w:pPr>
        <w:rPr>
          <w:rStyle w:val="nfasissutil"/>
          <w:rFonts w:ascii="Arial" w:hAnsi="Arial" w:cs="Arial"/>
          <w:sz w:val="24"/>
          <w:szCs w:val="24"/>
        </w:rPr>
      </w:pPr>
      <w:r w:rsidRPr="00EB5CF0">
        <w:t xml:space="preserve">Esto responde a la exigencia a las instituciones educativas mexicanas sobre el cumplimiento de una de las demandas sociales: la formación de profesionales que el mercado laboral demanda, es decir, atender a la demanda del sector productivo que se refleja en los problemas de desarrollo que aquejan al país </w:t>
      </w:r>
      <w:sdt>
        <w:sdtPr>
          <w:id w:val="3159425"/>
          <w:citation/>
        </w:sdtPr>
        <w:sdtEndPr/>
        <w:sdtContent>
          <w:r w:rsidR="0072146B" w:rsidRPr="00EB5CF0">
            <w:fldChar w:fldCharType="begin"/>
          </w:r>
          <w:r w:rsidRPr="00EB5CF0">
            <w:instrText xml:space="preserve"> CITATION Alc95 \l 2058 </w:instrText>
          </w:r>
          <w:r w:rsidR="0072146B" w:rsidRPr="00EB5CF0">
            <w:fldChar w:fldCharType="separate"/>
          </w:r>
          <w:r w:rsidRPr="00EB5CF0">
            <w:rPr>
              <w:noProof/>
            </w:rPr>
            <w:t>(Alcántara Santuario, 1995)</w:t>
          </w:r>
          <w:r w:rsidR="0072146B" w:rsidRPr="00EB5CF0">
            <w:fldChar w:fldCharType="end"/>
          </w:r>
        </w:sdtContent>
      </w:sdt>
      <w:r w:rsidRPr="00EB5CF0">
        <w:t xml:space="preserve">. Esta situación viene desde los años 50’s, cuando  el propósito de las instituciones educativas a nivel superior fue la profesionalización de los alumnos, en esos años respondiendo a formación de liderazgo y profesiones tradicionales como leyes y medicina </w:t>
      </w:r>
      <w:sdt>
        <w:sdtPr>
          <w:id w:val="3159426"/>
          <w:citation/>
        </w:sdtPr>
        <w:sdtEndPr/>
        <w:sdtContent>
          <w:r w:rsidR="0072146B" w:rsidRPr="00EB5CF0">
            <w:fldChar w:fldCharType="begin"/>
          </w:r>
          <w:r w:rsidRPr="00EB5CF0">
            <w:instrText xml:space="preserve"> CITATION Alc95 \l 2058 </w:instrText>
          </w:r>
          <w:r w:rsidR="0072146B" w:rsidRPr="00EB5CF0">
            <w:fldChar w:fldCharType="separate"/>
          </w:r>
          <w:r w:rsidRPr="00EB5CF0">
            <w:rPr>
              <w:noProof/>
            </w:rPr>
            <w:t xml:space="preserve"> (Alcántara Santuario, 1995)</w:t>
          </w:r>
          <w:r w:rsidR="0072146B" w:rsidRPr="00EB5CF0">
            <w:fldChar w:fldCharType="end"/>
          </w:r>
        </w:sdtContent>
      </w:sdt>
      <w:r w:rsidRPr="00EB5CF0">
        <w:t>. En las décadas siguientes se sigue este modelo, concentrando la formación en áreas tecnológicas cuyos resultados redituaban directamente en el desarrollo del país. Esto también fue permeado por la dificultad de establecer un sistema de investigación científica en las instituciones de educación superior.</w:t>
      </w:r>
      <w:r w:rsidR="00A07960">
        <w:t xml:space="preserve"> </w:t>
      </w:r>
      <w:r w:rsidRPr="00EB5CF0">
        <w:t xml:space="preserve">Un requerimiento especial de los </w:t>
      </w:r>
      <w:proofErr w:type="spellStart"/>
      <w:r w:rsidRPr="00EB5CF0">
        <w:t>PrgOP</w:t>
      </w:r>
      <w:proofErr w:type="spellEnd"/>
      <w:r w:rsidRPr="00EB5CF0">
        <w:t>, es que estén registrados ante la Dirección General de Profesiones</w:t>
      </w:r>
      <w:sdt>
        <w:sdtPr>
          <w:id w:val="6978463"/>
          <w:citation/>
        </w:sdtPr>
        <w:sdtEndPr/>
        <w:sdtContent>
          <w:r w:rsidR="0072146B" w:rsidRPr="00EB5CF0">
            <w:fldChar w:fldCharType="begin"/>
          </w:r>
          <w:r w:rsidRPr="00EB5CF0">
            <w:instrText xml:space="preserve"> CITATION CON0b \l 2058  </w:instrText>
          </w:r>
          <w:r w:rsidR="0072146B" w:rsidRPr="00EB5CF0">
            <w:fldChar w:fldCharType="separate"/>
          </w:r>
          <w:r w:rsidRPr="00EB5CF0">
            <w:rPr>
              <w:noProof/>
            </w:rPr>
            <w:t xml:space="preserve"> (CONACyT, 2010a)</w:t>
          </w:r>
          <w:r w:rsidR="0072146B" w:rsidRPr="00EB5CF0">
            <w:fldChar w:fldCharType="end"/>
          </w:r>
        </w:sdtContent>
      </w:sdt>
      <w:r w:rsidR="00A07960">
        <w:t>.</w:t>
      </w:r>
      <w:r w:rsidRPr="00EB5CF0">
        <w:rPr>
          <w:rStyle w:val="nfasissutil"/>
          <w:rFonts w:ascii="Arial" w:hAnsi="Arial" w:cs="Arial"/>
          <w:sz w:val="24"/>
          <w:szCs w:val="24"/>
        </w:rPr>
        <w:t xml:space="preserve"> </w:t>
      </w:r>
    </w:p>
    <w:p w:rsidR="00356E67" w:rsidRPr="00EB5CF0" w:rsidRDefault="00356E67" w:rsidP="00E16642"/>
    <w:p w:rsidR="00356E67" w:rsidRPr="005F30D8" w:rsidRDefault="00356E67" w:rsidP="005F30D8">
      <w:pPr>
        <w:jc w:val="center"/>
        <w:rPr>
          <w:sz w:val="22"/>
        </w:rPr>
      </w:pPr>
      <w:r w:rsidRPr="005F30D8">
        <w:rPr>
          <w:sz w:val="22"/>
        </w:rPr>
        <w:t>Figura 4. Programas con Orientación Profesionalizante</w:t>
      </w:r>
    </w:p>
    <w:p w:rsidR="00356E67" w:rsidRPr="00EB5CF0" w:rsidRDefault="00EB760B" w:rsidP="00E16642">
      <w:r>
        <w:rPr>
          <w:noProof/>
          <w:lang w:eastAsia="es-ES"/>
        </w:rPr>
      </w:r>
      <w:r>
        <w:rPr>
          <w:noProof/>
          <w:lang w:eastAsia="es-ES"/>
        </w:rPr>
        <w:pict>
          <v:group id="_x0000_s1046" editas="canvas" style="width:417.6pt;height:198pt;mso-position-horizontal-relative:char;mso-position-vertical-relative:line" coordorigin="1701,6568" coordsize="8352,3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6568;width:8352;height:3960"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048" type="#_x0000_t110" style="position:absolute;left:5013;top:9635;width:1800;height:720" fillcolor="#95b3d7 [1940]" strokecolor="#4f81bd [3204]" strokeweight="1pt">
              <v:fill color2="#4f81bd [3204]" focus="50%" type="gradient"/>
              <v:shadow on="t" type="perspective" color="#243f60 [1604]" offset="1pt" offset2="-3pt"/>
              <v:textbox style="mso-next-textbox:#_x0000_s1048">
                <w:txbxContent>
                  <w:p w:rsidR="008979D4" w:rsidRPr="00F459F6" w:rsidRDefault="008979D4" w:rsidP="00356E67">
                    <w:pPr>
                      <w:jc w:val="center"/>
                      <w:rPr>
                        <w:sz w:val="10"/>
                        <w:szCs w:val="10"/>
                      </w:rPr>
                    </w:pPr>
                    <w:r>
                      <w:rPr>
                        <w:sz w:val="10"/>
                        <w:szCs w:val="10"/>
                      </w:rPr>
                      <w:t>I</w:t>
                    </w:r>
                    <w:r w:rsidRPr="00F459F6">
                      <w:rPr>
                        <w:sz w:val="10"/>
                        <w:szCs w:val="10"/>
                      </w:rPr>
                      <w:t>ndivi</w:t>
                    </w:r>
                    <w:r>
                      <w:rPr>
                        <w:sz w:val="10"/>
                        <w:szCs w:val="10"/>
                      </w:rPr>
                      <w:t>d</w:t>
                    </w:r>
                    <w:r w:rsidRPr="00F459F6">
                      <w:rPr>
                        <w:sz w:val="10"/>
                        <w:szCs w:val="10"/>
                      </w:rPr>
                      <w:t>ualizado</w:t>
                    </w:r>
                  </w:p>
                </w:txbxContent>
              </v:textbox>
            </v:shape>
            <v:group id="_x0000_s1049" style="position:absolute;left:1873;top:6748;width:8000;height:3600" coordorigin="1873,6748" coordsize="8000,3600">
              <v:rect id="_x0000_s1050" style="position:absolute;left:3989;top:6748;width:3724;height:360" fillcolor="#95b3d7 [1940]" strokecolor="#4f81bd [3204]" strokeweight="1pt">
                <v:fill color2="#4f81bd [3204]" focus="50%" type="gradient"/>
                <v:shadow type="perspective" color="#243f60 [1604]" offset="1pt" offset2="-3pt"/>
                <v:textbox style="mso-next-textbox:#_x0000_s1050">
                  <w:txbxContent>
                    <w:p w:rsidR="008979D4" w:rsidRPr="00B95F58" w:rsidRDefault="008979D4" w:rsidP="00356E67">
                      <w:pPr>
                        <w:jc w:val="center"/>
                        <w:rPr>
                          <w:sz w:val="16"/>
                          <w:szCs w:val="16"/>
                        </w:rPr>
                      </w:pPr>
                      <w:r w:rsidRPr="00B95F58">
                        <w:rPr>
                          <w:sz w:val="16"/>
                          <w:szCs w:val="16"/>
                        </w:rPr>
                        <w:t xml:space="preserve">Orientación </w:t>
                      </w:r>
                      <w:proofErr w:type="spellStart"/>
                      <w:r w:rsidRPr="00B95F58">
                        <w:rPr>
                          <w:sz w:val="16"/>
                          <w:szCs w:val="16"/>
                        </w:rPr>
                        <w:t>Profesionalizante</w:t>
                      </w:r>
                      <w:proofErr w:type="spellEnd"/>
                    </w:p>
                  </w:txbxContent>
                </v:textbox>
              </v:rect>
              <v:shape id="_x0000_s1051" type="#_x0000_t110" style="position:absolute;left:1873;top:9618;width:1802;height:720" fillcolor="#95b3d7 [1940]" strokecolor="#4f81bd [3204]" strokeweight="1pt">
                <v:fill color2="#4f81bd [3204]" focus="50%" type="gradient"/>
                <v:shadow type="perspective" color="#243f60 [1604]" offset="1pt" offset2="-3pt"/>
                <v:textbox style="mso-next-textbox:#_x0000_s1051">
                  <w:txbxContent>
                    <w:p w:rsidR="008979D4" w:rsidRPr="00F459F6" w:rsidRDefault="008979D4" w:rsidP="00356E67">
                      <w:pPr>
                        <w:jc w:val="center"/>
                        <w:rPr>
                          <w:sz w:val="10"/>
                          <w:szCs w:val="10"/>
                        </w:rPr>
                      </w:pPr>
                      <w:r w:rsidRPr="00F459F6">
                        <w:rPr>
                          <w:sz w:val="10"/>
                          <w:szCs w:val="10"/>
                        </w:rPr>
                        <w:t>Pr</w:t>
                      </w:r>
                      <w:r>
                        <w:rPr>
                          <w:sz w:val="10"/>
                          <w:szCs w:val="10"/>
                        </w:rPr>
                        <w:t>á</w:t>
                      </w:r>
                      <w:r w:rsidRPr="00F459F6">
                        <w:rPr>
                          <w:sz w:val="10"/>
                          <w:szCs w:val="10"/>
                        </w:rPr>
                        <w:t>ctico</w:t>
                      </w:r>
                    </w:p>
                  </w:txbxContent>
                </v:textbox>
              </v:shape>
              <v:shape id="_x0000_s1052" type="#_x0000_t110" style="position:absolute;left:8073;top:9628;width:1800;height:720" fillcolor="#95b3d7 [1940]" strokecolor="#4f81bd [3204]" strokeweight="1pt">
                <v:fill color2="#4f81bd [3204]" focus="50%" type="gradient"/>
                <v:shadow type="perspective" color="#243f60 [1604]" offset="1pt" offset2="-3pt"/>
                <v:textbox style="mso-next-textbox:#_x0000_s1052">
                  <w:txbxContent>
                    <w:p w:rsidR="008979D4" w:rsidRPr="00F459F6" w:rsidRDefault="008979D4" w:rsidP="00356E67">
                      <w:pPr>
                        <w:jc w:val="center"/>
                        <w:rPr>
                          <w:sz w:val="10"/>
                          <w:szCs w:val="10"/>
                        </w:rPr>
                      </w:pPr>
                      <w:r w:rsidRPr="00F459F6">
                        <w:rPr>
                          <w:sz w:val="10"/>
                          <w:szCs w:val="10"/>
                        </w:rPr>
                        <w:t>Científico Pr</w:t>
                      </w:r>
                      <w:r>
                        <w:rPr>
                          <w:sz w:val="10"/>
                          <w:szCs w:val="10"/>
                        </w:rPr>
                        <w:t>á</w:t>
                      </w:r>
                      <w:r w:rsidRPr="00F459F6">
                        <w:rPr>
                          <w:sz w:val="10"/>
                          <w:szCs w:val="10"/>
                        </w:rPr>
                        <w:t>cti</w:t>
                      </w:r>
                      <w:r>
                        <w:rPr>
                          <w:sz w:val="10"/>
                          <w:szCs w:val="10"/>
                        </w:rPr>
                        <w:t>c</w:t>
                      </w:r>
                      <w:r w:rsidRPr="00F459F6">
                        <w:rPr>
                          <w:sz w:val="10"/>
                          <w:szCs w:val="10"/>
                        </w:rPr>
                        <w:t>o</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053" type="#_x0000_t112" style="position:absolute;left:3573;top:8661;width:1635;height:427" fillcolor="#95b3d7 [1940]" strokecolor="#4f81bd [3204]" strokeweight="1pt">
                <v:fill color2="#4f81bd [3204]" focus="50%" type="gradient"/>
                <v:shadow type="perspective" color="#243f60 [1604]" offset="1pt" offset2="-3pt"/>
                <v:textbox style="mso-next-textbox:#_x0000_s1053">
                  <w:txbxContent>
                    <w:p w:rsidR="008979D4" w:rsidRPr="00F459F6" w:rsidRDefault="008979D4" w:rsidP="00356E67">
                      <w:pPr>
                        <w:jc w:val="center"/>
                        <w:rPr>
                          <w:sz w:val="16"/>
                          <w:szCs w:val="16"/>
                        </w:rPr>
                      </w:pPr>
                      <w:r w:rsidRPr="00F459F6">
                        <w:rPr>
                          <w:sz w:val="16"/>
                          <w:szCs w:val="16"/>
                        </w:rPr>
                        <w:t>Especialidad</w:t>
                      </w:r>
                    </w:p>
                  </w:txbxContent>
                </v:textbox>
              </v:shape>
              <v:shape id="_x0000_s1054" type="#_x0000_t112" style="position:absolute;left:6438;top:8661;width:1635;height:427" fillcolor="#95b3d7 [1940]" strokecolor="#4f81bd [3204]" strokeweight="1pt">
                <v:fill color2="#4f81bd [3204]" focus="50%" type="gradient"/>
                <v:shadow type="perspective" color="#243f60 [1604]" offset="1pt" offset2="-3pt"/>
                <v:textbox style="mso-next-textbox:#_x0000_s1054">
                  <w:txbxContent>
                    <w:p w:rsidR="008979D4" w:rsidRPr="00F459F6" w:rsidRDefault="008979D4" w:rsidP="00356E67">
                      <w:pPr>
                        <w:jc w:val="center"/>
                        <w:rPr>
                          <w:sz w:val="16"/>
                          <w:szCs w:val="16"/>
                        </w:rPr>
                      </w:pPr>
                      <w:r>
                        <w:rPr>
                          <w:sz w:val="16"/>
                          <w:szCs w:val="16"/>
                        </w:rPr>
                        <w:t>Maestría</w:t>
                      </w:r>
                    </w:p>
                  </w:txbxContent>
                </v:textbox>
              </v:shape>
              <v:group id="_x0000_s1055" style="position:absolute;left:3753;top:7794;width:4646;height:340" coordorigin="3915,7565" coordsize="4646,495">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6" type="#_x0000_t55" style="position:absolute;left:3915;top:7589;width:1668;height:471" fillcolor="#95b3d7 [1940]" strokecolor="#4f81bd [3204]" strokeweight="1pt">
                  <v:fill color2="#4f81bd [3204]" focus="50%" type="gradient"/>
                  <v:shadow type="perspective" color="#243f60 [1604]" offset="1pt" offset2="-3pt"/>
                  <v:textbox style="mso-next-textbox:#_x0000_s1056">
                    <w:txbxContent>
                      <w:p w:rsidR="008979D4" w:rsidRPr="00B95F58" w:rsidRDefault="008979D4" w:rsidP="00356E67">
                        <w:pPr>
                          <w:jc w:val="right"/>
                          <w:rPr>
                            <w:sz w:val="14"/>
                            <w:szCs w:val="14"/>
                          </w:rPr>
                        </w:pPr>
                        <w:r w:rsidRPr="00B95F58">
                          <w:rPr>
                            <w:sz w:val="14"/>
                            <w:szCs w:val="14"/>
                          </w:rPr>
                          <w:t>Formación</w:t>
                        </w:r>
                      </w:p>
                    </w:txbxContent>
                  </v:textbox>
                </v:shape>
                <v:shape id="_x0000_s1057" type="#_x0000_t55" style="position:absolute;left:5395;top:7565;width:1668;height:471" fillcolor="#95b3d7 [1940]" strokecolor="#4f81bd [3204]" strokeweight="1pt">
                  <v:fill color2="#4f81bd [3204]" focus="50%" type="gradient"/>
                  <v:shadow type="perspective" color="#243f60 [1604]" offset="1pt" offset2="-3pt"/>
                  <v:textbox style="mso-next-textbox:#_x0000_s1057">
                    <w:txbxContent>
                      <w:p w:rsidR="008979D4" w:rsidRPr="00B95F58" w:rsidRDefault="008979D4" w:rsidP="00356E67">
                        <w:pPr>
                          <w:jc w:val="right"/>
                          <w:rPr>
                            <w:sz w:val="14"/>
                            <w:szCs w:val="14"/>
                          </w:rPr>
                        </w:pPr>
                        <w:r w:rsidRPr="00B95F58">
                          <w:rPr>
                            <w:sz w:val="14"/>
                            <w:szCs w:val="14"/>
                          </w:rPr>
                          <w:t>Desempeño</w:t>
                        </w:r>
                      </w:p>
                    </w:txbxContent>
                  </v:textbox>
                </v:shape>
                <v:shape id="_x0000_s1058" type="#_x0000_t55" style="position:absolute;left:6893;top:7565;width:1668;height:471" fillcolor="#95b3d7 [1940]" strokecolor="#4f81bd [3204]" strokeweight="1pt">
                  <v:fill color2="#4f81bd [3204]" focus="50%" type="gradient"/>
                  <v:shadow type="perspective" color="#243f60 [1604]" offset="1pt" offset2="-3pt"/>
                  <v:textbox style="mso-next-textbox:#_x0000_s1058">
                    <w:txbxContent>
                      <w:p w:rsidR="008979D4" w:rsidRPr="00B95F58" w:rsidRDefault="008979D4" w:rsidP="00356E67">
                        <w:pPr>
                          <w:jc w:val="right"/>
                          <w:rPr>
                            <w:sz w:val="14"/>
                            <w:szCs w:val="14"/>
                          </w:rPr>
                        </w:pPr>
                        <w:r w:rsidRPr="00B95F58">
                          <w:rPr>
                            <w:sz w:val="14"/>
                            <w:szCs w:val="14"/>
                          </w:rPr>
                          <w:t>Innovación</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9" type="#_x0000_t34" style="position:absolute;left:4853;top:7656;width:543;height:1468;rotation:90" o:connectortype="elbow" adj="10780,-97965,-233065" strokecolor="#4f81bd [3204]" strokeweight="1pt">
                <v:stroke startarrow="block" endarrow="block"/>
                <v:shadow type="perspective" color="#243f60 [1604]" offset="1pt" offset2="-3pt"/>
              </v:shape>
              <v:shape id="_x0000_s1060" type="#_x0000_t34" style="position:absolute;left:6286;top:7691;width:543;height:1397;rotation:90;flip:x" o:connectortype="elbow" adj="10780,102944,-233065" strokecolor="#4f81bd [3204]" strokeweight="1pt">
                <v:stroke startarrow="block" endarrow="block"/>
                <v:shadow type="perspective" color="#243f60 [1604]" offset="1pt" offset2="-3pt"/>
              </v:shape>
              <v:shapetype id="_x0000_t32" coordsize="21600,21600" o:spt="32" o:oned="t" path="m,l21600,21600e" filled="f">
                <v:path arrowok="t" fillok="f" o:connecttype="none"/>
                <o:lock v:ext="edit" shapetype="t"/>
              </v:shapetype>
              <v:shape id="_x0000_s1061" type="#_x0000_t32" style="position:absolute;left:5913;top:9088;width:1343;height:547;flip:x" o:connectortype="straight" strokecolor="#4f81bd [3204]" strokeweight="1pt">
                <v:stroke endarrow="block" endarrowlength="short" endcap="round"/>
                <v:shadow type="perspective" color="#243f60 [1604]" offset="1pt" offset2="-3pt"/>
              </v:shape>
              <v:shape id="_x0000_s1062" type="#_x0000_t32" style="position:absolute;left:7256;top:9088;width:1717;height:540" o:connectortype="straight" strokecolor="#4f81bd [3204]" strokeweight="1pt">
                <v:stroke endarrow="block" endarrowlength="short" endcap="round"/>
                <v:shadow type="perspective" color="#243f60 [1604]" offset="1pt" offset2="-3pt"/>
              </v:shape>
              <v:shape id="_x0000_s1063" type="#_x0000_t32" style="position:absolute;left:2774;top:9088;width:1617;height:530;flip:x" o:connectortype="straight" strokecolor="#4f81bd [3204]" strokeweight="1pt">
                <v:stroke endarrow="block" endarrowlength="short" endcap="round"/>
                <v:shadow type="perspective" color="#243f60 [1604]" offset="1pt" offset2="-3pt"/>
              </v:shape>
              <v:shape id="_x0000_s1064" type="#_x0000_t32" style="position:absolute;left:4391;top:9088;width:1522;height:547" o:connectortype="straight" strokecolor="#4f81bd [3204]" strokeweight="1pt">
                <v:stroke endarrow="block" endarrowlength="short" endcap="round"/>
                <v:shadow type="perspective" color="#243f60 [1604]" offset="1pt" offset2="-3pt"/>
              </v:shape>
              <v:shape id="_x0000_s1065" type="#_x0000_t32" style="position:absolute;left:5851;top:7108;width:8;height:686" o:connectortype="straight" strokecolor="#4f81bd [3204]" strokeweight="1pt">
                <v:stroke endarrow="block"/>
                <v:shadow type="perspective" color="#243f60 [1604]" offset="1pt" offset2="-3pt"/>
              </v:shape>
            </v:group>
            <w10:wrap type="none"/>
            <w10:anchorlock/>
          </v:group>
        </w:pict>
      </w:r>
    </w:p>
    <w:p w:rsidR="00356E67" w:rsidRPr="005F30D8" w:rsidRDefault="00356E67" w:rsidP="005F30D8">
      <w:pPr>
        <w:ind w:left="708" w:right="900"/>
        <w:rPr>
          <w:sz w:val="22"/>
        </w:rPr>
      </w:pPr>
      <w:r w:rsidRPr="005F30D8">
        <w:rPr>
          <w:sz w:val="22"/>
        </w:rPr>
        <w:t>Fuente: elaboración propia. En los Programas con Orientación Profesionalizante se incluye la triada Formación-Desempeño-Innovación; se imparten los niveles de Especialidad y Maestría con enseñanza tipo Práctica o Individualizada para el primero y para el segundo Individualizada o Científico Práctica.</w:t>
      </w:r>
    </w:p>
    <w:p w:rsidR="00356E67" w:rsidRPr="00EB5CF0" w:rsidRDefault="00356E67" w:rsidP="00E16642">
      <w:pPr>
        <w:rPr>
          <w:rFonts w:eastAsia="Times New Roman"/>
          <w:lang w:eastAsia="es-ES"/>
        </w:rPr>
      </w:pPr>
    </w:p>
    <w:p w:rsidR="00356E67" w:rsidRPr="00EB5CF0" w:rsidRDefault="00356E67" w:rsidP="00E16642">
      <w:pPr>
        <w:pStyle w:val="Ttulo3"/>
        <w:rPr>
          <w:lang w:eastAsia="es-ES"/>
        </w:rPr>
      </w:pPr>
      <w:bookmarkStart w:id="39" w:name="_Toc308691494"/>
      <w:r w:rsidRPr="00EB5CF0">
        <w:rPr>
          <w:lang w:eastAsia="es-ES"/>
        </w:rPr>
        <w:t>Programas con Orientación a la Investigación</w:t>
      </w:r>
      <w:bookmarkEnd w:id="39"/>
    </w:p>
    <w:p w:rsidR="00356E67" w:rsidRPr="00EB5CF0" w:rsidRDefault="00356E67" w:rsidP="00E16642">
      <w:pPr>
        <w:rPr>
          <w:lang w:eastAsia="es-ES"/>
        </w:rPr>
      </w:pPr>
    </w:p>
    <w:p w:rsidR="00356E67" w:rsidRPr="00EB5CF0" w:rsidRDefault="00356E67" w:rsidP="00E16642">
      <w:pPr>
        <w:rPr>
          <w:lang w:eastAsia="es-ES"/>
        </w:rPr>
      </w:pPr>
      <w:r w:rsidRPr="00EB5CF0">
        <w:rPr>
          <w:lang w:eastAsia="es-ES"/>
        </w:rPr>
        <w:t xml:space="preserve">De acuerdo con el glosario de términos del PNPC </w:t>
      </w:r>
      <w:sdt>
        <w:sdtPr>
          <w:rPr>
            <w:lang w:eastAsia="es-ES"/>
          </w:rPr>
          <w:id w:val="6978459"/>
          <w:citation/>
        </w:sdtPr>
        <w:sdtEndPr/>
        <w:sdtContent>
          <w:r w:rsidR="0072146B" w:rsidRPr="00EB5CF0">
            <w:rPr>
              <w:lang w:eastAsia="es-ES"/>
            </w:rPr>
            <w:fldChar w:fldCharType="begin"/>
          </w:r>
          <w:r w:rsidRPr="00EB5CF0">
            <w:rPr>
              <w:lang w:eastAsia="es-ES"/>
            </w:rPr>
            <w:instrText xml:space="preserve"> CITATION CON11 \p 15 \l 2058  </w:instrText>
          </w:r>
          <w:r w:rsidR="0072146B" w:rsidRPr="00EB5CF0">
            <w:rPr>
              <w:lang w:eastAsia="es-ES"/>
            </w:rPr>
            <w:fldChar w:fldCharType="separate"/>
          </w:r>
          <w:r w:rsidRPr="00EB5CF0">
            <w:rPr>
              <w:noProof/>
              <w:lang w:eastAsia="es-ES"/>
            </w:rPr>
            <w:t>(CONACyT, 2011, pág. 15)</w:t>
          </w:r>
          <w:r w:rsidR="0072146B" w:rsidRPr="00EB5CF0">
            <w:rPr>
              <w:lang w:eastAsia="es-ES"/>
            </w:rPr>
            <w:fldChar w:fldCharType="end"/>
          </w:r>
        </w:sdtContent>
      </w:sdt>
      <w:r w:rsidRPr="00EB5CF0">
        <w:rPr>
          <w:lang w:eastAsia="es-ES"/>
        </w:rPr>
        <w:t>, “el posgrado con orientación a la investigación es una formación que le permite a un estudiante iniciar su carrera en la investigación científica, humanística o tecnológica. Guiado por un profesor o investigador de su área, su trabajo de investigación genera conocimiento nuevo con la calidad y el valor suficiente para ser aceptado por sus pares para presentarse y/o publicarse en los foros y revistas internacionales de su especialidad. Su formación combina:</w:t>
      </w:r>
    </w:p>
    <w:p w:rsidR="00356E67" w:rsidRPr="00EB5CF0" w:rsidRDefault="00356E67" w:rsidP="005F30D8">
      <w:pPr>
        <w:pStyle w:val="Prrafodelista"/>
        <w:numPr>
          <w:ilvl w:val="0"/>
          <w:numId w:val="26"/>
        </w:numPr>
        <w:rPr>
          <w:lang w:eastAsia="es-ES"/>
        </w:rPr>
      </w:pPr>
      <w:r w:rsidRPr="00EB5CF0">
        <w:rPr>
          <w:lang w:eastAsia="es-ES"/>
        </w:rPr>
        <w:t>Cursos y/o seminarios avanzados sobre alguna área del conocimiento correspondiente a la especialidad</w:t>
      </w:r>
    </w:p>
    <w:p w:rsidR="00356E67" w:rsidRPr="00EB5CF0" w:rsidRDefault="00356E67" w:rsidP="005F30D8">
      <w:pPr>
        <w:pStyle w:val="Prrafodelista"/>
        <w:numPr>
          <w:ilvl w:val="0"/>
          <w:numId w:val="26"/>
        </w:numPr>
        <w:rPr>
          <w:lang w:eastAsia="es-ES"/>
        </w:rPr>
      </w:pPr>
      <w:r w:rsidRPr="00EB5CF0">
        <w:rPr>
          <w:lang w:eastAsia="es-ES"/>
        </w:rPr>
        <w:t>Un fuerte trabajo de investigación individual</w:t>
      </w:r>
    </w:p>
    <w:p w:rsidR="00356E67" w:rsidRPr="00EB5CF0" w:rsidRDefault="00356E67" w:rsidP="005F30D8">
      <w:pPr>
        <w:pStyle w:val="Prrafodelista"/>
        <w:numPr>
          <w:ilvl w:val="0"/>
          <w:numId w:val="26"/>
        </w:numPr>
        <w:rPr>
          <w:lang w:eastAsia="es-ES"/>
        </w:rPr>
      </w:pPr>
      <w:r w:rsidRPr="00EB5CF0">
        <w:rPr>
          <w:lang w:eastAsia="es-ES"/>
        </w:rPr>
        <w:t>Estancias en laboratorios de universidades extranjeras</w:t>
      </w:r>
    </w:p>
    <w:p w:rsidR="00356E67" w:rsidRPr="00EB5CF0" w:rsidRDefault="00356E67" w:rsidP="005F30D8">
      <w:pPr>
        <w:pStyle w:val="Prrafodelista"/>
        <w:numPr>
          <w:ilvl w:val="0"/>
          <w:numId w:val="26"/>
        </w:numPr>
        <w:rPr>
          <w:lang w:eastAsia="es-ES"/>
        </w:rPr>
      </w:pPr>
      <w:r w:rsidRPr="00EB5CF0">
        <w:rPr>
          <w:lang w:eastAsia="es-ES"/>
        </w:rPr>
        <w:t>Publicaciones (congresos y revistas) con revisión estricta de pares</w:t>
      </w:r>
    </w:p>
    <w:p w:rsidR="00356E67" w:rsidRPr="00EB5CF0" w:rsidRDefault="00356E67" w:rsidP="005F30D8">
      <w:pPr>
        <w:pStyle w:val="Prrafodelista"/>
        <w:numPr>
          <w:ilvl w:val="0"/>
          <w:numId w:val="26"/>
        </w:numPr>
        <w:rPr>
          <w:lang w:eastAsia="es-ES"/>
        </w:rPr>
      </w:pPr>
      <w:r w:rsidRPr="00EB5CF0">
        <w:rPr>
          <w:lang w:eastAsia="es-ES"/>
        </w:rPr>
        <w:t>Patentes</w:t>
      </w:r>
    </w:p>
    <w:p w:rsidR="00356E67" w:rsidRPr="00EB5CF0" w:rsidRDefault="00356E67" w:rsidP="005F30D8">
      <w:pPr>
        <w:pStyle w:val="Prrafodelista"/>
        <w:numPr>
          <w:ilvl w:val="0"/>
          <w:numId w:val="26"/>
        </w:numPr>
        <w:rPr>
          <w:lang w:eastAsia="es-ES"/>
        </w:rPr>
      </w:pPr>
      <w:r w:rsidRPr="00EB5CF0">
        <w:rPr>
          <w:lang w:eastAsia="es-ES"/>
        </w:rPr>
        <w:t>Tesis doctoral documentando el conocimiento generado</w:t>
      </w:r>
    </w:p>
    <w:p w:rsidR="00356E67" w:rsidRPr="00EB5CF0" w:rsidRDefault="00356E67" w:rsidP="005F30D8">
      <w:pPr>
        <w:pStyle w:val="Prrafodelista"/>
        <w:numPr>
          <w:ilvl w:val="0"/>
          <w:numId w:val="26"/>
        </w:numPr>
        <w:rPr>
          <w:lang w:eastAsia="es-ES"/>
        </w:rPr>
      </w:pPr>
      <w:r w:rsidRPr="00EB5CF0">
        <w:rPr>
          <w:lang w:eastAsia="es-ES"/>
        </w:rPr>
        <w:t>Defensa ante un jurado de su trabajo de investigación</w:t>
      </w:r>
    </w:p>
    <w:p w:rsidR="00356E67" w:rsidRDefault="00356E67" w:rsidP="005F30D8">
      <w:pPr>
        <w:pStyle w:val="Prrafodelista"/>
        <w:numPr>
          <w:ilvl w:val="0"/>
          <w:numId w:val="26"/>
        </w:numPr>
        <w:rPr>
          <w:lang w:eastAsia="es-ES"/>
        </w:rPr>
      </w:pPr>
      <w:r w:rsidRPr="00EB5CF0">
        <w:rPr>
          <w:lang w:eastAsia="es-ES"/>
        </w:rPr>
        <w:t>Esta formación tiene una duración típica de 3 a 4 años, después de una maestría, a tiempo completo”.</w:t>
      </w:r>
    </w:p>
    <w:p w:rsidR="00425280" w:rsidRPr="00EB5CF0" w:rsidRDefault="00425280" w:rsidP="00E16642">
      <w:pPr>
        <w:rPr>
          <w:lang w:eastAsia="es-ES"/>
        </w:rPr>
      </w:pPr>
    </w:p>
    <w:p w:rsidR="00356E67" w:rsidRPr="00EB5CF0" w:rsidRDefault="00356E67" w:rsidP="00E16642">
      <w:r w:rsidRPr="00EB5CF0">
        <w:t xml:space="preserve">Los </w:t>
      </w:r>
      <w:r w:rsidRPr="00EB5CF0">
        <w:rPr>
          <w:i/>
        </w:rPr>
        <w:t>programas de maestría con orientación a la investigación</w:t>
      </w:r>
      <w:r w:rsidRPr="00EB5CF0">
        <w:t xml:space="preserve"> están enfocados “a habilitar al estudiante para iniciar trabajos de investigación. Los alumnos participarán en actividades de investigación conducidas por los profesores del posgrado y habrán de demostrar capacidad para desarrollar un proyecto de investigación individual mediante un trabajo de tesis”</w:t>
      </w:r>
      <w:sdt>
        <w:sdtPr>
          <w:rPr>
            <w:color w:val="948A54" w:themeColor="background2" w:themeShade="80"/>
          </w:rPr>
          <w:id w:val="1067535"/>
          <w:citation/>
        </w:sdtPr>
        <w:sdtEndPr>
          <w:rPr>
            <w:color w:val="auto"/>
          </w:rPr>
        </w:sdtEndPr>
        <w:sdtContent>
          <w:r w:rsidR="0072146B" w:rsidRPr="00EB5CF0">
            <w:fldChar w:fldCharType="begin"/>
          </w:r>
          <w:r w:rsidRPr="00EB5CF0">
            <w:instrText xml:space="preserve"> CITATION CONsa \l 2058  </w:instrText>
          </w:r>
          <w:r w:rsidR="0072146B" w:rsidRPr="00EB5CF0">
            <w:fldChar w:fldCharType="separate"/>
          </w:r>
          <w:r w:rsidRPr="00EB5CF0">
            <w:rPr>
              <w:noProof/>
            </w:rPr>
            <w:t xml:space="preserve"> (CONACyT, s. a.)</w:t>
          </w:r>
          <w:r w:rsidR="0072146B" w:rsidRPr="00EB5CF0">
            <w:fldChar w:fldCharType="end"/>
          </w:r>
        </w:sdtContent>
      </w:sdt>
      <w:r w:rsidRPr="00EB5CF0">
        <w:t xml:space="preserve">. </w:t>
      </w:r>
    </w:p>
    <w:p w:rsidR="00356E67" w:rsidRDefault="00356E67" w:rsidP="00E16642"/>
    <w:p w:rsidR="00766C6B" w:rsidRDefault="00766C6B" w:rsidP="00766C6B">
      <w:pPr>
        <w:rPr>
          <w:lang w:eastAsia="es-ES"/>
        </w:rPr>
      </w:pPr>
      <w:r>
        <w:rPr>
          <w:lang w:eastAsia="es-ES"/>
        </w:rPr>
        <w:t>T</w:t>
      </w:r>
      <w:r w:rsidRPr="00766C6B">
        <w:rPr>
          <w:lang w:eastAsia="es-ES"/>
        </w:rPr>
        <w:t xml:space="preserve">ienen como propósito la profundización de conocimientos y competencias en un área o disciplina del saber, lo cual deriva en la especialización. El perfil de egreso es de personal investigador y/o de docentes de nivel superior del área de estudio. </w:t>
      </w:r>
      <w:r w:rsidRPr="00766C6B">
        <w:rPr>
          <w:lang w:eastAsia="es-ES"/>
        </w:rPr>
        <w:lastRenderedPageBreak/>
        <w:t>De acuerdo con S</w:t>
      </w:r>
      <w:r>
        <w:rPr>
          <w:lang w:eastAsia="es-ES"/>
        </w:rPr>
        <w:t>á</w:t>
      </w:r>
      <w:r w:rsidRPr="00766C6B">
        <w:rPr>
          <w:lang w:eastAsia="es-ES"/>
        </w:rPr>
        <w:t xml:space="preserve">nchez </w:t>
      </w:r>
      <w:proofErr w:type="spellStart"/>
      <w:r w:rsidRPr="00766C6B">
        <w:rPr>
          <w:lang w:eastAsia="es-ES"/>
        </w:rPr>
        <w:t>Mariñez</w:t>
      </w:r>
      <w:proofErr w:type="spellEnd"/>
      <w:r w:rsidRPr="00766C6B">
        <w:rPr>
          <w:lang w:eastAsia="es-ES"/>
        </w:rPr>
        <w:t xml:space="preserve"> (2008</w:t>
      </w:r>
      <w:r>
        <w:rPr>
          <w:lang w:eastAsia="es-ES"/>
        </w:rPr>
        <w:t>, p. 332</w:t>
      </w:r>
      <w:r w:rsidRPr="00766C6B">
        <w:rPr>
          <w:lang w:eastAsia="es-ES"/>
        </w:rPr>
        <w:t>) “estos programas requieren de una iniciación en las metodologías y tradiciones de investigación o en los modelos y técnicas de las artes de la creación vigentes en las disciplinas o áreas respectivas, demostrándose el desarrollo de estas capacidades principalmente a través de la realización, por los participantes en las mismas, de un trabajo final en la forma de tesis de investigación o creación original</w:t>
      </w:r>
      <w:r>
        <w:rPr>
          <w:lang w:eastAsia="es-ES"/>
        </w:rPr>
        <w:t>"</w:t>
      </w:r>
      <w:r w:rsidRPr="00766C6B">
        <w:rPr>
          <w:lang w:eastAsia="es-ES"/>
        </w:rPr>
        <w:t>.</w:t>
      </w:r>
    </w:p>
    <w:p w:rsidR="00766C6B" w:rsidRPr="00EB5CF0" w:rsidRDefault="00766C6B" w:rsidP="00E16642"/>
    <w:p w:rsidR="00356E67" w:rsidRPr="00EB5CF0" w:rsidRDefault="00356E67" w:rsidP="00E16642">
      <w:r w:rsidRPr="00EB5CF0">
        <w:t xml:space="preserve">Los </w:t>
      </w:r>
      <w:r w:rsidRPr="00EB5CF0">
        <w:rPr>
          <w:i/>
          <w:iCs/>
        </w:rPr>
        <w:t xml:space="preserve">programas de doctorado </w:t>
      </w:r>
      <w:r w:rsidRPr="00EB5CF0">
        <w:t xml:space="preserve">son programas especializados en la formación de investigadores de alto nivel, “preparan al alumno para la generación de conocimiento científico, tecnológico y humanístico de forma independiente y para su aplicación innovadora. En el doctorado prevalecerá el trabajo de investigación sobre cualquier otra actividad. No obstante ello, habrá invariablemente espacios para la reflexión sobre los aspectos filosóficos, teóricos, conceptuales y metodológicos de la disciplina objeto de estudio. La </w:t>
      </w:r>
      <w:r w:rsidRPr="00EB5CF0">
        <w:rPr>
          <w:i/>
          <w:iCs/>
        </w:rPr>
        <w:t>formación en investigación</w:t>
      </w:r>
      <w:r w:rsidRPr="00EB5CF0">
        <w:t xml:space="preserve"> requiere de la existencia de programas de asesoría que garanticen la atención personalizada del estudiante. Será necesario demostrar la capacidad de generar aportaciones originales en el campo de conocimiento del programa a través de un trabajo de tesis” </w:t>
      </w:r>
      <w:r w:rsidRPr="00EB5CF0">
        <w:rPr>
          <w:noProof/>
        </w:rPr>
        <w:t>(CONACyT, s. a.; H. Consejo Universitario. Universidad Autónoma de Guerrero, 2005).</w:t>
      </w:r>
    </w:p>
    <w:p w:rsidR="00356E67" w:rsidRPr="00EB5CF0" w:rsidRDefault="00356E67" w:rsidP="00E16642"/>
    <w:p w:rsidR="00356E67" w:rsidRPr="00EB5CF0" w:rsidRDefault="00356E67" w:rsidP="00E16642">
      <w:pPr>
        <w:rPr>
          <w:bCs/>
          <w:iCs/>
          <w:color w:val="000000"/>
        </w:rPr>
      </w:pPr>
      <w:r w:rsidRPr="00EB5CF0">
        <w:t xml:space="preserve">Siguiendo la misma analogía para explicar estas categorías como en los programas con orientación profesionalizante, se recurre a las políticas anteriores al 2007 del mismo CONACyT. Las maestrías con orientación a la investigación se equiparan con los </w:t>
      </w:r>
      <w:r w:rsidRPr="00EB5CF0">
        <w:rPr>
          <w:i/>
        </w:rPr>
        <w:t xml:space="preserve">Programas Intermedios </w:t>
      </w:r>
      <w:r w:rsidRPr="00EB5CF0">
        <w:t xml:space="preserve"> y los doctorados con los </w:t>
      </w:r>
      <w:r w:rsidRPr="00EB5CF0">
        <w:rPr>
          <w:i/>
        </w:rPr>
        <w:t>Programas Científicos (Humanísticos) Básicos</w:t>
      </w:r>
      <w:r w:rsidRPr="00EB5CF0">
        <w:t xml:space="preserve"> </w:t>
      </w:r>
      <w:sdt>
        <w:sdtPr>
          <w:id w:val="4591226"/>
          <w:citation/>
        </w:sdtPr>
        <w:sdtEndPr/>
        <w:sdtContent>
          <w:r w:rsidR="0072146B" w:rsidRPr="00EB5CF0">
            <w:fldChar w:fldCharType="begin"/>
          </w:r>
          <w:r w:rsidRPr="00EB5CF0">
            <w:instrText xml:space="preserve"> CITATION CONsa \l 2058  </w:instrText>
          </w:r>
          <w:r w:rsidR="0072146B" w:rsidRPr="00EB5CF0">
            <w:fldChar w:fldCharType="separate"/>
          </w:r>
          <w:r w:rsidRPr="00EB5CF0">
            <w:rPr>
              <w:noProof/>
            </w:rPr>
            <w:t xml:space="preserve"> (CONACyT, s. a.)</w:t>
          </w:r>
          <w:r w:rsidR="0072146B" w:rsidRPr="00EB5CF0">
            <w:fldChar w:fldCharType="end"/>
          </w:r>
        </w:sdtContent>
      </w:sdt>
      <w:r w:rsidRPr="00EB5CF0">
        <w:t>. Los Programas Intermedios forman egresados que pueden dedicarse a la práctica profesional o a actividades académicas. En los Programas Ci</w:t>
      </w:r>
      <w:r w:rsidRPr="00EB5CF0">
        <w:rPr>
          <w:bCs/>
          <w:iCs/>
        </w:rPr>
        <w:t xml:space="preserve">entíficos (o Humanísticos) Básicos los egresados se </w:t>
      </w:r>
      <w:r w:rsidRPr="00EB5CF0">
        <w:t xml:space="preserve">desempeñarán generalmente actividades académicas, es por ello que los planes de estudio de este tipo de programas se conforman mayoritariamente por cursos básicos de ciencias o humanidades y requieren </w:t>
      </w:r>
      <w:r w:rsidRPr="00EB5CF0">
        <w:lastRenderedPageBreak/>
        <w:t>atención de pequeños grupos de estudiantes en talleres o laboratorios</w:t>
      </w:r>
      <w:r w:rsidRPr="00EB5CF0">
        <w:rPr>
          <w:bCs/>
          <w:iCs/>
          <w:color w:val="000000"/>
        </w:rPr>
        <w:t xml:space="preserve"> (ver Figura 5).</w:t>
      </w:r>
    </w:p>
    <w:p w:rsidR="00356E67" w:rsidRPr="00EB5CF0" w:rsidRDefault="00356E67" w:rsidP="00E16642"/>
    <w:p w:rsidR="00356E67" w:rsidRPr="005F30D8" w:rsidRDefault="00356E67" w:rsidP="005F30D8">
      <w:pPr>
        <w:jc w:val="center"/>
        <w:rPr>
          <w:sz w:val="22"/>
        </w:rPr>
      </w:pPr>
      <w:r w:rsidRPr="005F30D8">
        <w:rPr>
          <w:sz w:val="22"/>
        </w:rPr>
        <w:t>Figura 5. Programas con Orientación a la Investigación</w:t>
      </w:r>
    </w:p>
    <w:p w:rsidR="00356E67" w:rsidRPr="00EB5CF0" w:rsidRDefault="00EB760B" w:rsidP="00E16642">
      <w:r>
        <w:rPr>
          <w:noProof/>
          <w:lang w:eastAsia="es-ES"/>
        </w:rPr>
      </w:r>
      <w:r>
        <w:rPr>
          <w:noProof/>
          <w:lang w:eastAsia="es-ES"/>
        </w:rPr>
        <w:pict>
          <v:group id="_x0000_s1026" editas="canvas" style="width:417.6pt;height:198pt;mso-position-horizontal-relative:char;mso-position-vertical-relative:line" coordorigin="1701,6568" coordsize="8352,3960">
            <o:lock v:ext="edit" aspectratio="t"/>
            <v:shape id="_x0000_s1027" type="#_x0000_t75" style="position:absolute;left:1701;top:6568;width:8352;height:3960" o:preferrelative="f">
              <v:fill o:detectmouseclick="t"/>
              <v:path o:extrusionok="t" o:connecttype="none"/>
              <o:lock v:ext="edit" text="t"/>
            </v:shape>
            <v:shape id="_x0000_s1028" type="#_x0000_t110" style="position:absolute;left:5013;top:9635;width:1800;height:720" fillcolor="#95b3d7 [1940]" strokecolor="#4f81bd [3204]" strokeweight="1pt">
              <v:fill color2="#4f81bd [3204]" focus="50%" type="gradient"/>
              <v:shadow on="t" type="perspective" color="#243f60 [1604]" offset="1pt" offset2="-3pt"/>
              <v:textbox style="mso-next-textbox:#_x0000_s1028">
                <w:txbxContent>
                  <w:p w:rsidR="008979D4" w:rsidRPr="00F459F6" w:rsidRDefault="008979D4" w:rsidP="00356E67">
                    <w:pPr>
                      <w:jc w:val="center"/>
                      <w:rPr>
                        <w:sz w:val="10"/>
                        <w:szCs w:val="10"/>
                      </w:rPr>
                    </w:pPr>
                    <w:r>
                      <w:rPr>
                        <w:sz w:val="10"/>
                        <w:szCs w:val="10"/>
                      </w:rPr>
                      <w:t>Intermedio</w:t>
                    </w:r>
                  </w:p>
                </w:txbxContent>
              </v:textbox>
            </v:shape>
            <v:group id="_x0000_s1029" style="position:absolute;left:1873;top:6748;width:8000;height:3600" coordorigin="1873,6748" coordsize="8000,3600">
              <v:rect id="_x0000_s1030" style="position:absolute;left:3989;top:6748;width:3724;height:360" fillcolor="#95b3d7 [1940]" strokecolor="#4f81bd [3204]" strokeweight="1pt">
                <v:fill color2="#4f81bd [3204]" focus="50%" type="gradient"/>
                <v:shadow type="perspective" color="#243f60 [1604]" offset="1pt" offset2="-3pt"/>
                <v:textbox style="mso-next-textbox:#_x0000_s1030">
                  <w:txbxContent>
                    <w:p w:rsidR="008979D4" w:rsidRPr="00D81E2A" w:rsidRDefault="008979D4" w:rsidP="00356E67">
                      <w:pPr>
                        <w:jc w:val="center"/>
                        <w:rPr>
                          <w:sz w:val="18"/>
                          <w:szCs w:val="18"/>
                        </w:rPr>
                      </w:pPr>
                      <w:r w:rsidRPr="00D81E2A">
                        <w:rPr>
                          <w:sz w:val="18"/>
                          <w:szCs w:val="18"/>
                        </w:rPr>
                        <w:t>Orientación a la Investigación</w:t>
                      </w:r>
                    </w:p>
                  </w:txbxContent>
                </v:textbox>
              </v:rect>
              <v:shape id="_x0000_s1031" type="#_x0000_t110" style="position:absolute;left:1873;top:9618;width:1802;height:720" fillcolor="#95b3d7 [1940]" strokecolor="#4f81bd [3204]" strokeweight="1pt">
                <v:fill color2="#4f81bd [3204]" focus="50%" type="gradient"/>
                <v:shadow type="perspective" color="#243f60 [1604]" offset="1pt" offset2="-3pt"/>
                <v:textbox style="mso-next-textbox:#_x0000_s1031">
                  <w:txbxContent>
                    <w:p w:rsidR="008979D4" w:rsidRPr="00F459F6" w:rsidRDefault="008979D4" w:rsidP="00356E67">
                      <w:pPr>
                        <w:jc w:val="center"/>
                        <w:rPr>
                          <w:sz w:val="10"/>
                          <w:szCs w:val="10"/>
                        </w:rPr>
                      </w:pPr>
                      <w:r>
                        <w:rPr>
                          <w:sz w:val="10"/>
                          <w:szCs w:val="10"/>
                        </w:rPr>
                        <w:t xml:space="preserve">Científico </w:t>
                      </w:r>
                      <w:r w:rsidRPr="00F459F6">
                        <w:rPr>
                          <w:sz w:val="10"/>
                          <w:szCs w:val="10"/>
                        </w:rPr>
                        <w:t>Pr</w:t>
                      </w:r>
                      <w:r>
                        <w:rPr>
                          <w:sz w:val="10"/>
                          <w:szCs w:val="10"/>
                        </w:rPr>
                        <w:t>á</w:t>
                      </w:r>
                      <w:r w:rsidRPr="00F459F6">
                        <w:rPr>
                          <w:sz w:val="10"/>
                          <w:szCs w:val="10"/>
                        </w:rPr>
                        <w:t>ctico</w:t>
                      </w:r>
                    </w:p>
                  </w:txbxContent>
                </v:textbox>
              </v:shape>
              <v:shape id="_x0000_s1032" type="#_x0000_t110" style="position:absolute;left:8073;top:9628;width:1800;height:720" fillcolor="#95b3d7 [1940]" strokecolor="#4f81bd [3204]" strokeweight="1pt">
                <v:fill color2="#4f81bd [3204]" focus="50%" type="gradient"/>
                <v:shadow type="perspective" color="#243f60 [1604]" offset="1pt" offset2="-3pt"/>
                <v:textbox style="mso-next-textbox:#_x0000_s1032">
                  <w:txbxContent>
                    <w:p w:rsidR="008979D4" w:rsidRPr="00F459F6" w:rsidRDefault="008979D4" w:rsidP="00356E67">
                      <w:pPr>
                        <w:jc w:val="center"/>
                        <w:rPr>
                          <w:sz w:val="10"/>
                          <w:szCs w:val="10"/>
                        </w:rPr>
                      </w:pPr>
                      <w:r w:rsidRPr="00F459F6">
                        <w:rPr>
                          <w:sz w:val="10"/>
                          <w:szCs w:val="10"/>
                        </w:rPr>
                        <w:t>Científico</w:t>
                      </w:r>
                      <w:r>
                        <w:rPr>
                          <w:sz w:val="10"/>
                          <w:szCs w:val="10"/>
                        </w:rPr>
                        <w:t xml:space="preserve"> Humanístico</w:t>
                      </w:r>
                    </w:p>
                  </w:txbxContent>
                </v:textbox>
              </v:shape>
              <v:shape id="_x0000_s1033" type="#_x0000_t112" style="position:absolute;left:3573;top:8661;width:1635;height:427" fillcolor="#95b3d7 [1940]" strokecolor="#4f81bd [3204]" strokeweight="1pt">
                <v:fill color2="#4f81bd [3204]" focus="50%" type="gradient"/>
                <v:shadow type="perspective" color="#243f60 [1604]" offset="1pt" offset2="-3pt"/>
                <v:textbox style="mso-next-textbox:#_x0000_s1033">
                  <w:txbxContent>
                    <w:p w:rsidR="008979D4" w:rsidRPr="00F459F6" w:rsidRDefault="008979D4" w:rsidP="00356E67">
                      <w:pPr>
                        <w:jc w:val="center"/>
                        <w:rPr>
                          <w:sz w:val="16"/>
                          <w:szCs w:val="16"/>
                        </w:rPr>
                      </w:pPr>
                      <w:r>
                        <w:rPr>
                          <w:sz w:val="16"/>
                          <w:szCs w:val="16"/>
                        </w:rPr>
                        <w:t>Maestría</w:t>
                      </w:r>
                    </w:p>
                  </w:txbxContent>
                </v:textbox>
              </v:shape>
              <v:shape id="_x0000_s1034" type="#_x0000_t112" style="position:absolute;left:6438;top:8661;width:1635;height:427" fillcolor="#95b3d7 [1940]" strokecolor="#4f81bd [3204]" strokeweight="1pt">
                <v:fill color2="#4f81bd [3204]" focus="50%" type="gradient"/>
                <v:shadow type="perspective" color="#243f60 [1604]" offset="1pt" offset2="-3pt"/>
                <v:textbox style="mso-next-textbox:#_x0000_s1034">
                  <w:txbxContent>
                    <w:p w:rsidR="008979D4" w:rsidRPr="00F459F6" w:rsidRDefault="008979D4" w:rsidP="00356E67">
                      <w:pPr>
                        <w:jc w:val="center"/>
                        <w:rPr>
                          <w:sz w:val="16"/>
                          <w:szCs w:val="16"/>
                        </w:rPr>
                      </w:pPr>
                      <w:r>
                        <w:rPr>
                          <w:sz w:val="16"/>
                          <w:szCs w:val="16"/>
                        </w:rPr>
                        <w:t>Doctorado</w:t>
                      </w:r>
                    </w:p>
                  </w:txbxContent>
                </v:textbox>
              </v:shape>
              <v:group id="_x0000_s1035" style="position:absolute;left:3753;top:7794;width:4646;height:340" coordorigin="3915,7565" coordsize="4646,495">
                <v:shape id="_x0000_s1036" type="#_x0000_t55" style="position:absolute;left:3915;top:7589;width:1668;height:471" fillcolor="#95b3d7 [1940]" strokecolor="#4f81bd [3204]" strokeweight="1pt">
                  <v:fill color2="#4f81bd [3204]" focus="50%" type="gradient"/>
                  <v:shadow type="perspective" color="#243f60 [1604]" offset="1pt" offset2="-3pt"/>
                  <v:textbox style="mso-next-textbox:#_x0000_s1036">
                    <w:txbxContent>
                      <w:p w:rsidR="008979D4" w:rsidRPr="00B95F58" w:rsidRDefault="008979D4" w:rsidP="00356E67">
                        <w:pPr>
                          <w:jc w:val="right"/>
                          <w:rPr>
                            <w:sz w:val="14"/>
                            <w:szCs w:val="14"/>
                          </w:rPr>
                        </w:pPr>
                        <w:r w:rsidRPr="00B95F58">
                          <w:rPr>
                            <w:sz w:val="14"/>
                            <w:szCs w:val="14"/>
                          </w:rPr>
                          <w:t>Formación</w:t>
                        </w:r>
                      </w:p>
                    </w:txbxContent>
                  </v:textbox>
                </v:shape>
                <v:shape id="_x0000_s1037" type="#_x0000_t55" style="position:absolute;left:5395;top:7565;width:1668;height:471" fillcolor="#95b3d7 [1940]" strokecolor="#4f81bd [3204]" strokeweight="1pt">
                  <v:fill color2="#4f81bd [3204]" focus="50%" type="gradient"/>
                  <v:shadow type="perspective" color="#243f60 [1604]" offset="1pt" offset2="-3pt"/>
                  <v:textbox style="mso-next-textbox:#_x0000_s1037">
                    <w:txbxContent>
                      <w:p w:rsidR="008979D4" w:rsidRPr="00B95F58" w:rsidRDefault="008979D4" w:rsidP="00356E67">
                        <w:pPr>
                          <w:jc w:val="right"/>
                          <w:rPr>
                            <w:sz w:val="14"/>
                            <w:szCs w:val="14"/>
                          </w:rPr>
                        </w:pPr>
                        <w:r>
                          <w:rPr>
                            <w:sz w:val="14"/>
                            <w:szCs w:val="14"/>
                          </w:rPr>
                          <w:t>Investigación</w:t>
                        </w:r>
                      </w:p>
                    </w:txbxContent>
                  </v:textbox>
                </v:shape>
                <v:shape id="_x0000_s1038" type="#_x0000_t55" style="position:absolute;left:6893;top:7565;width:1668;height:471" fillcolor="#95b3d7 [1940]" strokecolor="#4f81bd [3204]" strokeweight="1pt">
                  <v:fill color2="#4f81bd [3204]" focus="50%" type="gradient"/>
                  <v:shadow type="perspective" color="#243f60 [1604]" offset="1pt" offset2="-3pt"/>
                  <v:textbox style="mso-next-textbox:#_x0000_s1038">
                    <w:txbxContent>
                      <w:p w:rsidR="008979D4" w:rsidRPr="00B95F58" w:rsidRDefault="008979D4" w:rsidP="00356E67">
                        <w:pPr>
                          <w:jc w:val="right"/>
                          <w:rPr>
                            <w:sz w:val="14"/>
                            <w:szCs w:val="14"/>
                          </w:rPr>
                        </w:pPr>
                        <w:r w:rsidRPr="00B95F58">
                          <w:rPr>
                            <w:sz w:val="14"/>
                            <w:szCs w:val="14"/>
                          </w:rPr>
                          <w:t>Innovación</w:t>
                        </w:r>
                      </w:p>
                    </w:txbxContent>
                  </v:textbox>
                </v:shape>
              </v:group>
              <v:shape id="_x0000_s1039" type="#_x0000_t34" style="position:absolute;left:4853;top:7656;width:543;height:1468;rotation:90" o:connectortype="elbow" adj="10780,-97965,-233065" strokecolor="#4f81bd [3204]" strokeweight="1pt">
                <v:stroke startarrow="block" endarrow="block"/>
                <v:shadow type="perspective" color="#243f60 [1604]" offset="1pt" offset2="-3pt"/>
              </v:shape>
              <v:shape id="_x0000_s1040" type="#_x0000_t34" style="position:absolute;left:6286;top:7691;width:543;height:1397;rotation:90;flip:x" o:connectortype="elbow" adj="10780,102944,-233065" strokecolor="#4f81bd [3204]" strokeweight="1pt">
                <v:stroke startarrow="block" endarrow="block"/>
                <v:shadow type="perspective" color="#243f60 [1604]" offset="1pt" offset2="-3pt"/>
              </v:shape>
              <v:shape id="_x0000_s1041" type="#_x0000_t32" style="position:absolute;left:5913;top:9088;width:1343;height:547;flip:x" o:connectortype="straight" strokecolor="#4f81bd [3204]" strokeweight="1pt">
                <v:stroke endarrow="block" endarrowlength="short" endcap="round"/>
                <v:shadow type="perspective" color="#243f60 [1604]" offset="1pt" offset2="-3pt"/>
              </v:shape>
              <v:shape id="_x0000_s1042" type="#_x0000_t32" style="position:absolute;left:7256;top:9088;width:1717;height:540" o:connectortype="straight" strokecolor="#4f81bd [3204]" strokeweight="1pt">
                <v:stroke endarrow="block" endarrowlength="short" endcap="round"/>
                <v:shadow type="perspective" color="#243f60 [1604]" offset="1pt" offset2="-3pt"/>
              </v:shape>
              <v:shape id="_x0000_s1043" type="#_x0000_t32" style="position:absolute;left:2774;top:9088;width:1617;height:530;flip:x" o:connectortype="straight" strokecolor="#4f81bd [3204]" strokeweight="1pt">
                <v:stroke endarrow="block" endarrowlength="short" endcap="round"/>
                <v:shadow type="perspective" color="#243f60 [1604]" offset="1pt" offset2="-3pt"/>
              </v:shape>
              <v:shape id="_x0000_s1044" type="#_x0000_t32" style="position:absolute;left:4391;top:9088;width:1522;height:547" o:connectortype="straight" strokecolor="#4f81bd [3204]" strokeweight="1pt">
                <v:stroke endarrow="block" endarrowlength="short" endcap="round"/>
                <v:shadow type="perspective" color="#243f60 [1604]" offset="1pt" offset2="-3pt"/>
              </v:shape>
              <v:shape id="_x0000_s1045" type="#_x0000_t32" style="position:absolute;left:5851;top:7108;width:8;height:686" o:connectortype="straight" strokecolor="#4f81bd [3204]" strokeweight="1pt">
                <v:stroke endarrow="block"/>
                <v:shadow type="perspective" color="#243f60 [1604]" offset="1pt" offset2="-3pt"/>
              </v:shape>
            </v:group>
            <w10:wrap type="none"/>
            <w10:anchorlock/>
          </v:group>
        </w:pict>
      </w:r>
    </w:p>
    <w:p w:rsidR="00356E67" w:rsidRPr="005F30D8" w:rsidRDefault="00356E67" w:rsidP="005F30D8">
      <w:pPr>
        <w:ind w:left="708" w:right="900"/>
        <w:rPr>
          <w:sz w:val="22"/>
        </w:rPr>
      </w:pPr>
      <w:r w:rsidRPr="005F30D8">
        <w:rPr>
          <w:sz w:val="22"/>
        </w:rPr>
        <w:t>Fuente: elaboración propia. En los Programas con Orientación a la investigación se incluye la triada Formación-Investigación-Innovación; se imparten los niveles de Maestría y Doctorado con enseñanza tipo Científico Práctica o intermedia para el primero y para el segundo Intermedia o Científico-Humanístico Básica para el segundo.</w:t>
      </w:r>
    </w:p>
    <w:p w:rsidR="00356E67" w:rsidRPr="00EB5CF0" w:rsidRDefault="00356E67" w:rsidP="00E16642"/>
    <w:p w:rsidR="00356E67" w:rsidRPr="00EB5CF0" w:rsidRDefault="00356E67" w:rsidP="00E16642">
      <w:r w:rsidRPr="00EB5CF0">
        <w:t>Existen diferentes autores que han tratado también esta división, la orientación de los posgrados, por ejemplo Ángel Díaz Barriga</w:t>
      </w:r>
      <w:sdt>
        <w:sdtPr>
          <w:id w:val="1050152"/>
          <w:citation/>
        </w:sdtPr>
        <w:sdtEndPr/>
        <w:sdtContent>
          <w:r w:rsidR="0072146B" w:rsidRPr="00EB5CF0">
            <w:fldChar w:fldCharType="begin"/>
          </w:r>
          <w:r w:rsidRPr="00EB5CF0">
            <w:instrText xml:space="preserve"> CITATION Día06 \n  \t  \l 2058  </w:instrText>
          </w:r>
          <w:r w:rsidR="0072146B" w:rsidRPr="00EB5CF0">
            <w:fldChar w:fldCharType="separate"/>
          </w:r>
          <w:r w:rsidRPr="00EB5CF0">
            <w:rPr>
              <w:noProof/>
            </w:rPr>
            <w:t xml:space="preserve"> (2006)</w:t>
          </w:r>
          <w:r w:rsidR="0072146B" w:rsidRPr="00EB5CF0">
            <w:fldChar w:fldCharType="end"/>
          </w:r>
        </w:sdtContent>
      </w:sdt>
      <w:r w:rsidRPr="00EB5CF0">
        <w:t xml:space="preserve"> presenta una tabla en donde compara las dos clases</w:t>
      </w:r>
      <w:r w:rsidR="00A07960">
        <w:t xml:space="preserve">; lo mismo presenta el autor Sánchez </w:t>
      </w:r>
      <w:proofErr w:type="spellStart"/>
      <w:r w:rsidR="00A07960">
        <w:t>Mariñez</w:t>
      </w:r>
      <w:proofErr w:type="spellEnd"/>
      <w:r w:rsidR="00A07960">
        <w:t xml:space="preserve"> (2008)</w:t>
      </w:r>
      <w:r w:rsidRPr="00EB5CF0">
        <w:t>, aquí se reproducen sus ideas con mínimas modificaciones de la autora, en pos de aclarar y resaltar algunos puntos:</w:t>
      </w:r>
    </w:p>
    <w:p w:rsidR="00356E67" w:rsidRPr="00EB5CF0" w:rsidRDefault="00356E67" w:rsidP="00E16642"/>
    <w:tbl>
      <w:tblPr>
        <w:tblStyle w:val="Tablaconcuadrcula"/>
        <w:tblW w:w="0" w:type="auto"/>
        <w:tblInd w:w="392" w:type="dxa"/>
        <w:tblLook w:val="04A0" w:firstRow="1" w:lastRow="0" w:firstColumn="1" w:lastColumn="0" w:noHBand="0" w:noVBand="1"/>
      </w:tblPr>
      <w:tblGrid>
        <w:gridCol w:w="2489"/>
        <w:gridCol w:w="2881"/>
        <w:gridCol w:w="2882"/>
      </w:tblGrid>
      <w:tr w:rsidR="00356E67" w:rsidRPr="00AA0575" w:rsidTr="005F30D8">
        <w:tc>
          <w:tcPr>
            <w:tcW w:w="2489" w:type="dxa"/>
            <w:vAlign w:val="center"/>
          </w:tcPr>
          <w:p w:rsidR="00356E67" w:rsidRPr="00AA0575" w:rsidRDefault="00356E67" w:rsidP="00E16642">
            <w:pPr>
              <w:rPr>
                <w:sz w:val="20"/>
                <w:szCs w:val="20"/>
                <w:lang w:val="es-MX"/>
              </w:rPr>
            </w:pPr>
          </w:p>
        </w:tc>
        <w:tc>
          <w:tcPr>
            <w:tcW w:w="2881" w:type="dxa"/>
            <w:vAlign w:val="center"/>
          </w:tcPr>
          <w:p w:rsidR="00356E67" w:rsidRPr="00AA0575" w:rsidRDefault="00356E67" w:rsidP="00E16642">
            <w:pPr>
              <w:rPr>
                <w:b/>
                <w:bCs/>
                <w:sz w:val="20"/>
                <w:szCs w:val="20"/>
                <w:lang w:val="es-MX"/>
              </w:rPr>
            </w:pPr>
            <w:r w:rsidRPr="00AA0575">
              <w:rPr>
                <w:b/>
                <w:bCs/>
                <w:sz w:val="20"/>
                <w:szCs w:val="20"/>
                <w:lang w:val="es-MX"/>
              </w:rPr>
              <w:t xml:space="preserve">Posgrado de investigación </w:t>
            </w:r>
          </w:p>
        </w:tc>
        <w:tc>
          <w:tcPr>
            <w:tcW w:w="2882" w:type="dxa"/>
            <w:vAlign w:val="center"/>
          </w:tcPr>
          <w:p w:rsidR="00356E67" w:rsidRPr="00AA0575" w:rsidRDefault="00356E67" w:rsidP="00E16642">
            <w:pPr>
              <w:rPr>
                <w:sz w:val="20"/>
                <w:szCs w:val="20"/>
                <w:lang w:val="es-MX"/>
              </w:rPr>
            </w:pPr>
            <w:r w:rsidRPr="00AA0575">
              <w:rPr>
                <w:b/>
                <w:bCs/>
                <w:sz w:val="20"/>
                <w:szCs w:val="20"/>
                <w:lang w:val="es-MX"/>
              </w:rPr>
              <w:t>Posgrado Profesional</w:t>
            </w:r>
          </w:p>
        </w:tc>
      </w:tr>
      <w:tr w:rsidR="00356E67" w:rsidRPr="00AA0575" w:rsidTr="005F30D8">
        <w:tc>
          <w:tcPr>
            <w:tcW w:w="2489" w:type="dxa"/>
            <w:vAlign w:val="center"/>
          </w:tcPr>
          <w:p w:rsidR="00356E67" w:rsidRPr="00AA0575" w:rsidRDefault="00356E67" w:rsidP="00E16642">
            <w:pPr>
              <w:rPr>
                <w:sz w:val="20"/>
                <w:szCs w:val="20"/>
                <w:lang w:val="es-MX"/>
              </w:rPr>
            </w:pPr>
            <w:r w:rsidRPr="00AA0575">
              <w:rPr>
                <w:b/>
                <w:bCs/>
                <w:sz w:val="20"/>
                <w:szCs w:val="20"/>
                <w:lang w:val="es-MX"/>
              </w:rPr>
              <w:t>Meta</w:t>
            </w:r>
          </w:p>
        </w:tc>
        <w:tc>
          <w:tcPr>
            <w:tcW w:w="2881" w:type="dxa"/>
            <w:vAlign w:val="center"/>
          </w:tcPr>
          <w:p w:rsidR="00356E67" w:rsidRPr="00AA0575" w:rsidRDefault="00356E67" w:rsidP="00E16642">
            <w:pPr>
              <w:rPr>
                <w:sz w:val="20"/>
                <w:szCs w:val="20"/>
                <w:lang w:val="es-MX"/>
              </w:rPr>
            </w:pPr>
            <w:r w:rsidRPr="00AA0575">
              <w:rPr>
                <w:sz w:val="20"/>
                <w:szCs w:val="20"/>
                <w:lang w:val="es-MX"/>
              </w:rPr>
              <w:t>Formar investigadores</w:t>
            </w:r>
          </w:p>
        </w:tc>
        <w:tc>
          <w:tcPr>
            <w:tcW w:w="2882" w:type="dxa"/>
            <w:vAlign w:val="center"/>
          </w:tcPr>
          <w:p w:rsidR="00356E67" w:rsidRPr="00AA0575" w:rsidRDefault="00356E67" w:rsidP="00E16642">
            <w:pPr>
              <w:rPr>
                <w:sz w:val="20"/>
                <w:szCs w:val="20"/>
                <w:lang w:val="es-MX"/>
              </w:rPr>
            </w:pPr>
            <w:r w:rsidRPr="00AA0575">
              <w:rPr>
                <w:sz w:val="20"/>
                <w:szCs w:val="20"/>
                <w:lang w:val="es-MX"/>
              </w:rPr>
              <w:t>Formar en un conocimiento experto profesional</w:t>
            </w:r>
          </w:p>
        </w:tc>
      </w:tr>
      <w:tr w:rsidR="00A07960" w:rsidRPr="00AA0575" w:rsidTr="005F30D8">
        <w:tc>
          <w:tcPr>
            <w:tcW w:w="2489" w:type="dxa"/>
            <w:vAlign w:val="center"/>
          </w:tcPr>
          <w:p w:rsidR="00A07960" w:rsidRPr="00AA0575" w:rsidRDefault="00A07960" w:rsidP="00E16642">
            <w:pPr>
              <w:rPr>
                <w:b/>
                <w:bCs/>
                <w:sz w:val="20"/>
                <w:szCs w:val="20"/>
              </w:rPr>
            </w:pPr>
            <w:r>
              <w:rPr>
                <w:b/>
                <w:bCs/>
                <w:sz w:val="20"/>
                <w:szCs w:val="20"/>
              </w:rPr>
              <w:t>Propósito</w:t>
            </w:r>
          </w:p>
        </w:tc>
        <w:tc>
          <w:tcPr>
            <w:tcW w:w="2881" w:type="dxa"/>
            <w:vAlign w:val="center"/>
          </w:tcPr>
          <w:p w:rsidR="00A07960" w:rsidRPr="00AA0575" w:rsidRDefault="00A07960" w:rsidP="00E16642">
            <w:pPr>
              <w:rPr>
                <w:sz w:val="20"/>
                <w:szCs w:val="20"/>
              </w:rPr>
            </w:pPr>
            <w:r>
              <w:rPr>
                <w:sz w:val="20"/>
                <w:szCs w:val="20"/>
              </w:rPr>
              <w:t>Desarrollo de capacidades de investigación o creación intelectual</w:t>
            </w:r>
          </w:p>
        </w:tc>
        <w:tc>
          <w:tcPr>
            <w:tcW w:w="2882" w:type="dxa"/>
            <w:vAlign w:val="center"/>
          </w:tcPr>
          <w:p w:rsidR="00A07960" w:rsidRPr="00AA0575" w:rsidRDefault="00A07960" w:rsidP="00E16642">
            <w:pPr>
              <w:rPr>
                <w:sz w:val="20"/>
                <w:szCs w:val="20"/>
              </w:rPr>
            </w:pPr>
            <w:r>
              <w:rPr>
                <w:sz w:val="20"/>
                <w:szCs w:val="20"/>
              </w:rPr>
              <w:t>Desarrollo de competencias laborales</w:t>
            </w:r>
          </w:p>
        </w:tc>
      </w:tr>
      <w:tr w:rsidR="00356E67" w:rsidRPr="00AA0575" w:rsidTr="005F30D8">
        <w:tc>
          <w:tcPr>
            <w:tcW w:w="2489" w:type="dxa"/>
            <w:vAlign w:val="center"/>
          </w:tcPr>
          <w:p w:rsidR="00356E67" w:rsidRPr="00AA0575" w:rsidRDefault="00356E67" w:rsidP="00E16642">
            <w:pPr>
              <w:rPr>
                <w:b/>
                <w:bCs/>
                <w:sz w:val="20"/>
                <w:szCs w:val="20"/>
                <w:lang w:val="es-MX"/>
              </w:rPr>
            </w:pPr>
            <w:r w:rsidRPr="00AA0575">
              <w:rPr>
                <w:b/>
                <w:bCs/>
                <w:sz w:val="20"/>
                <w:szCs w:val="20"/>
                <w:lang w:val="es-MX"/>
              </w:rPr>
              <w:t xml:space="preserve">Condiciones del </w:t>
            </w:r>
            <w:r w:rsidRPr="00AA0575">
              <w:rPr>
                <w:b/>
                <w:bCs/>
                <w:sz w:val="20"/>
                <w:szCs w:val="20"/>
                <w:lang w:val="es-MX"/>
              </w:rPr>
              <w:lastRenderedPageBreak/>
              <w:t>alumnado</w:t>
            </w:r>
          </w:p>
        </w:tc>
        <w:tc>
          <w:tcPr>
            <w:tcW w:w="2881" w:type="dxa"/>
            <w:vAlign w:val="center"/>
          </w:tcPr>
          <w:p w:rsidR="00356E67" w:rsidRPr="00AA0575" w:rsidRDefault="00356E67" w:rsidP="00E16642">
            <w:pPr>
              <w:rPr>
                <w:sz w:val="20"/>
                <w:szCs w:val="20"/>
                <w:lang w:val="es-MX"/>
              </w:rPr>
            </w:pPr>
            <w:r w:rsidRPr="00AA0575">
              <w:rPr>
                <w:sz w:val="20"/>
                <w:szCs w:val="20"/>
                <w:lang w:val="es-MX"/>
              </w:rPr>
              <w:lastRenderedPageBreak/>
              <w:t xml:space="preserve">Jóvenes con buenos </w:t>
            </w:r>
            <w:r w:rsidRPr="00AA0575">
              <w:rPr>
                <w:sz w:val="20"/>
                <w:szCs w:val="20"/>
                <w:lang w:val="es-MX"/>
              </w:rPr>
              <w:lastRenderedPageBreak/>
              <w:t>antecedentes académicos</w:t>
            </w:r>
            <w:r w:rsidR="00A07960">
              <w:rPr>
                <w:sz w:val="20"/>
                <w:szCs w:val="20"/>
                <w:lang w:val="es-MX"/>
              </w:rPr>
              <w:t>. Egresado terminal de programas de grado, con o sin experiencia profesional, con interés en la investigación y producción intelectual</w:t>
            </w:r>
          </w:p>
        </w:tc>
        <w:tc>
          <w:tcPr>
            <w:tcW w:w="2882" w:type="dxa"/>
            <w:vAlign w:val="center"/>
          </w:tcPr>
          <w:p w:rsidR="00356E67" w:rsidRPr="00AA0575" w:rsidRDefault="00356E67" w:rsidP="00E16642">
            <w:pPr>
              <w:rPr>
                <w:sz w:val="20"/>
                <w:szCs w:val="20"/>
                <w:lang w:val="es-MX"/>
              </w:rPr>
            </w:pPr>
            <w:r w:rsidRPr="00AA0575">
              <w:rPr>
                <w:sz w:val="20"/>
                <w:szCs w:val="20"/>
                <w:lang w:val="es-MX"/>
              </w:rPr>
              <w:lastRenderedPageBreak/>
              <w:t xml:space="preserve">El estudiante debe contar con  </w:t>
            </w:r>
            <w:r w:rsidRPr="00AA0575">
              <w:rPr>
                <w:sz w:val="20"/>
                <w:szCs w:val="20"/>
                <w:lang w:val="es-MX"/>
              </w:rPr>
              <w:lastRenderedPageBreak/>
              <w:t xml:space="preserve">un promedio mínimo de experiencia profesional, en donde haya desarrollado habilidades y competencias de su ámbito. Esto puede incidir en la edad que tengan los aspirantes y esa es una cuestión que repercute en el otorgamiento de becas por parte del </w:t>
            </w:r>
            <w:proofErr w:type="spellStart"/>
            <w:r w:rsidRPr="00AA0575">
              <w:rPr>
                <w:sz w:val="20"/>
                <w:szCs w:val="20"/>
                <w:lang w:val="es-MX"/>
              </w:rPr>
              <w:t>CONACyT</w:t>
            </w:r>
            <w:proofErr w:type="spellEnd"/>
            <w:r w:rsidR="00A07960">
              <w:rPr>
                <w:sz w:val="20"/>
                <w:szCs w:val="20"/>
                <w:lang w:val="es-MX"/>
              </w:rPr>
              <w:t>.</w:t>
            </w:r>
          </w:p>
        </w:tc>
      </w:tr>
      <w:tr w:rsidR="00356E67" w:rsidRPr="00AA0575" w:rsidTr="005F30D8">
        <w:tc>
          <w:tcPr>
            <w:tcW w:w="2489" w:type="dxa"/>
            <w:vAlign w:val="center"/>
          </w:tcPr>
          <w:p w:rsidR="00356E67" w:rsidRPr="00AA0575" w:rsidRDefault="00356E67" w:rsidP="00E16642">
            <w:pPr>
              <w:rPr>
                <w:b/>
                <w:bCs/>
                <w:sz w:val="20"/>
                <w:szCs w:val="20"/>
                <w:lang w:val="es-MX"/>
              </w:rPr>
            </w:pPr>
            <w:r w:rsidRPr="00AA0575">
              <w:rPr>
                <w:b/>
                <w:bCs/>
                <w:sz w:val="20"/>
                <w:szCs w:val="20"/>
                <w:lang w:val="es-MX"/>
              </w:rPr>
              <w:lastRenderedPageBreak/>
              <w:t>Tiempo de dedicación</w:t>
            </w:r>
          </w:p>
        </w:tc>
        <w:tc>
          <w:tcPr>
            <w:tcW w:w="2881" w:type="dxa"/>
            <w:vAlign w:val="center"/>
          </w:tcPr>
          <w:p w:rsidR="00356E67" w:rsidRPr="00AA0575" w:rsidRDefault="00356E67" w:rsidP="00E16642">
            <w:pPr>
              <w:rPr>
                <w:sz w:val="20"/>
                <w:szCs w:val="20"/>
                <w:lang w:val="es-MX"/>
              </w:rPr>
            </w:pPr>
            <w:r w:rsidRPr="00AA0575">
              <w:rPr>
                <w:sz w:val="20"/>
                <w:szCs w:val="20"/>
                <w:lang w:val="es-MX"/>
              </w:rPr>
              <w:t>Dedicación de Tiempo Completo, con capacidad de graduarse en los tiempos previstos</w:t>
            </w:r>
          </w:p>
        </w:tc>
        <w:tc>
          <w:tcPr>
            <w:tcW w:w="2882" w:type="dxa"/>
            <w:vAlign w:val="center"/>
          </w:tcPr>
          <w:p w:rsidR="00356E67" w:rsidRPr="00AA0575" w:rsidRDefault="00356E67" w:rsidP="00E16642">
            <w:pPr>
              <w:rPr>
                <w:sz w:val="20"/>
                <w:szCs w:val="20"/>
                <w:lang w:val="es-MX"/>
              </w:rPr>
            </w:pPr>
            <w:r w:rsidRPr="00AA0575">
              <w:rPr>
                <w:sz w:val="20"/>
                <w:szCs w:val="20"/>
                <w:lang w:val="es-MX"/>
              </w:rPr>
              <w:t>Difícil dedicación de Tiempo Completo por la necesidad anterior de contar con experiencia profesional. En este caso se debe poner atención a la cuestión de la titulación, instrumentando opciones como: I&amp;D, reporte analítico de experiencia profesional o el registro de patentes</w:t>
            </w:r>
          </w:p>
        </w:tc>
      </w:tr>
      <w:tr w:rsidR="00356E67" w:rsidRPr="00AA0575" w:rsidTr="005F30D8">
        <w:tc>
          <w:tcPr>
            <w:tcW w:w="2489" w:type="dxa"/>
            <w:vAlign w:val="center"/>
          </w:tcPr>
          <w:p w:rsidR="00356E67" w:rsidRPr="00AA0575" w:rsidRDefault="00356E67" w:rsidP="00E16642">
            <w:pPr>
              <w:rPr>
                <w:b/>
                <w:bCs/>
                <w:sz w:val="20"/>
                <w:szCs w:val="20"/>
                <w:lang w:val="es-MX"/>
              </w:rPr>
            </w:pPr>
            <w:r w:rsidRPr="00AA0575">
              <w:rPr>
                <w:b/>
                <w:bCs/>
                <w:sz w:val="20"/>
                <w:szCs w:val="20"/>
                <w:lang w:val="es-MX"/>
              </w:rPr>
              <w:t>Condiciones que ofrece el programa</w:t>
            </w:r>
          </w:p>
        </w:tc>
        <w:tc>
          <w:tcPr>
            <w:tcW w:w="2881" w:type="dxa"/>
            <w:vAlign w:val="center"/>
          </w:tcPr>
          <w:p w:rsidR="00356E67" w:rsidRPr="00AA0575" w:rsidRDefault="00356E67" w:rsidP="00E16642">
            <w:pPr>
              <w:rPr>
                <w:sz w:val="20"/>
                <w:szCs w:val="20"/>
                <w:lang w:val="es-MX"/>
              </w:rPr>
            </w:pPr>
            <w:r w:rsidRPr="00AA0575">
              <w:rPr>
                <w:sz w:val="20"/>
                <w:szCs w:val="20"/>
                <w:lang w:val="es-MX"/>
              </w:rPr>
              <w:t>Integrarse a un grupo de investigación y a seminarios especializados.</w:t>
            </w:r>
          </w:p>
          <w:p w:rsidR="00356E67" w:rsidRPr="00AA0575" w:rsidRDefault="00356E67" w:rsidP="00E16642">
            <w:pPr>
              <w:rPr>
                <w:sz w:val="20"/>
                <w:szCs w:val="20"/>
                <w:lang w:val="es-MX"/>
              </w:rPr>
            </w:pPr>
          </w:p>
          <w:p w:rsidR="00356E67" w:rsidRPr="00AA0575" w:rsidRDefault="00356E67" w:rsidP="00E16642">
            <w:pPr>
              <w:rPr>
                <w:sz w:val="20"/>
                <w:szCs w:val="20"/>
                <w:lang w:val="es-MX"/>
              </w:rPr>
            </w:pPr>
            <w:r w:rsidRPr="00AA0575">
              <w:rPr>
                <w:sz w:val="20"/>
                <w:szCs w:val="20"/>
                <w:lang w:val="es-MX"/>
              </w:rPr>
              <w:t>Contar con infraestructura necesaria para su proyecto (laboratorios, equipo, cómputo, insumos, acceso a bases de datos)</w:t>
            </w:r>
          </w:p>
        </w:tc>
        <w:tc>
          <w:tcPr>
            <w:tcW w:w="2882" w:type="dxa"/>
            <w:vAlign w:val="center"/>
          </w:tcPr>
          <w:p w:rsidR="00356E67" w:rsidRPr="00AA0575" w:rsidRDefault="00356E67" w:rsidP="00E16642">
            <w:pPr>
              <w:rPr>
                <w:sz w:val="20"/>
                <w:szCs w:val="20"/>
                <w:lang w:val="es-MX"/>
              </w:rPr>
            </w:pPr>
            <w:r w:rsidRPr="00AA0575">
              <w:rPr>
                <w:sz w:val="20"/>
                <w:szCs w:val="20"/>
                <w:lang w:val="es-MX"/>
              </w:rPr>
              <w:t>Acceso a un grupo de profesores que tiene conocimiento experto, participando en Seminarios y talleres con una orientación profesional</w:t>
            </w:r>
          </w:p>
          <w:p w:rsidR="00356E67" w:rsidRPr="00AA0575" w:rsidRDefault="00356E67" w:rsidP="00E16642">
            <w:pPr>
              <w:rPr>
                <w:sz w:val="20"/>
                <w:szCs w:val="20"/>
                <w:lang w:val="es-MX"/>
              </w:rPr>
            </w:pPr>
          </w:p>
          <w:p w:rsidR="00356E67" w:rsidRPr="00AA0575" w:rsidRDefault="00356E67" w:rsidP="00E16642">
            <w:pPr>
              <w:rPr>
                <w:sz w:val="20"/>
                <w:szCs w:val="20"/>
                <w:lang w:val="es-MX"/>
              </w:rPr>
            </w:pPr>
            <w:r w:rsidRPr="00AA0575">
              <w:rPr>
                <w:sz w:val="20"/>
                <w:szCs w:val="20"/>
                <w:lang w:val="es-MX"/>
              </w:rPr>
              <w:t xml:space="preserve">Los escenarios no son </w:t>
            </w:r>
            <w:r w:rsidR="00AB32CA">
              <w:rPr>
                <w:sz w:val="20"/>
                <w:szCs w:val="20"/>
                <w:lang w:val="es-MX"/>
              </w:rPr>
              <w:t>solo</w:t>
            </w:r>
            <w:r w:rsidRPr="00AA0575">
              <w:rPr>
                <w:sz w:val="20"/>
                <w:szCs w:val="20"/>
                <w:lang w:val="es-MX"/>
              </w:rPr>
              <w:t xml:space="preserve"> educativos, sino escenarios reales (lleva a conservar parte de su compromiso laboral)</w:t>
            </w:r>
          </w:p>
        </w:tc>
      </w:tr>
      <w:tr w:rsidR="00A07960" w:rsidRPr="00AA0575" w:rsidTr="005F30D8">
        <w:tc>
          <w:tcPr>
            <w:tcW w:w="2489" w:type="dxa"/>
            <w:vAlign w:val="center"/>
          </w:tcPr>
          <w:p w:rsidR="00A07960" w:rsidRPr="00AA0575" w:rsidRDefault="00A07960" w:rsidP="00E16642">
            <w:pPr>
              <w:rPr>
                <w:b/>
                <w:bCs/>
                <w:sz w:val="20"/>
                <w:szCs w:val="20"/>
              </w:rPr>
            </w:pPr>
            <w:r>
              <w:rPr>
                <w:b/>
                <w:bCs/>
                <w:sz w:val="20"/>
                <w:szCs w:val="20"/>
              </w:rPr>
              <w:t>Nivel de estructuración de los aprendizajes</w:t>
            </w:r>
          </w:p>
        </w:tc>
        <w:tc>
          <w:tcPr>
            <w:tcW w:w="2881" w:type="dxa"/>
            <w:vAlign w:val="center"/>
          </w:tcPr>
          <w:p w:rsidR="00A07960" w:rsidRPr="00AA0575" w:rsidRDefault="00A07960" w:rsidP="00E16642">
            <w:pPr>
              <w:rPr>
                <w:sz w:val="20"/>
                <w:szCs w:val="20"/>
              </w:rPr>
            </w:pPr>
            <w:r>
              <w:rPr>
                <w:sz w:val="20"/>
                <w:szCs w:val="20"/>
              </w:rPr>
              <w:t>Media a baja, valoración del estudio y producción independiente, seminarios.</w:t>
            </w:r>
          </w:p>
        </w:tc>
        <w:tc>
          <w:tcPr>
            <w:tcW w:w="2882" w:type="dxa"/>
            <w:vAlign w:val="center"/>
          </w:tcPr>
          <w:p w:rsidR="00A07960" w:rsidRPr="00AA0575" w:rsidRDefault="00A07960" w:rsidP="00E16642">
            <w:pPr>
              <w:rPr>
                <w:sz w:val="20"/>
                <w:szCs w:val="20"/>
              </w:rPr>
            </w:pPr>
            <w:r>
              <w:rPr>
                <w:sz w:val="20"/>
                <w:szCs w:val="20"/>
              </w:rPr>
              <w:t>Alta a media, predominio de cursos, talleres y prácticas estructuradas</w:t>
            </w:r>
          </w:p>
        </w:tc>
      </w:tr>
      <w:tr w:rsidR="00A07960" w:rsidRPr="00AA0575" w:rsidTr="005F30D8">
        <w:tc>
          <w:tcPr>
            <w:tcW w:w="2489" w:type="dxa"/>
            <w:vAlign w:val="center"/>
          </w:tcPr>
          <w:p w:rsidR="00A07960" w:rsidRDefault="00A07960" w:rsidP="00E16642">
            <w:pPr>
              <w:rPr>
                <w:b/>
                <w:bCs/>
                <w:sz w:val="20"/>
                <w:szCs w:val="20"/>
              </w:rPr>
            </w:pPr>
            <w:r>
              <w:rPr>
                <w:b/>
                <w:bCs/>
                <w:sz w:val="20"/>
                <w:szCs w:val="20"/>
              </w:rPr>
              <w:t xml:space="preserve">Experiencias </w:t>
            </w:r>
            <w:r>
              <w:rPr>
                <w:b/>
                <w:bCs/>
                <w:sz w:val="20"/>
                <w:szCs w:val="20"/>
              </w:rPr>
              <w:lastRenderedPageBreak/>
              <w:t>formativas</w:t>
            </w:r>
          </w:p>
        </w:tc>
        <w:tc>
          <w:tcPr>
            <w:tcW w:w="2881" w:type="dxa"/>
            <w:vAlign w:val="center"/>
          </w:tcPr>
          <w:p w:rsidR="00A07960" w:rsidRDefault="00A07960" w:rsidP="00E16642">
            <w:pPr>
              <w:rPr>
                <w:sz w:val="20"/>
                <w:szCs w:val="20"/>
              </w:rPr>
            </w:pPr>
            <w:r>
              <w:rPr>
                <w:sz w:val="20"/>
                <w:szCs w:val="20"/>
              </w:rPr>
              <w:lastRenderedPageBreak/>
              <w:t xml:space="preserve">Participación en actividades </w:t>
            </w:r>
            <w:r>
              <w:rPr>
                <w:sz w:val="20"/>
                <w:szCs w:val="20"/>
              </w:rPr>
              <w:lastRenderedPageBreak/>
              <w:t>de investigación o producción intelectual</w:t>
            </w:r>
          </w:p>
        </w:tc>
        <w:tc>
          <w:tcPr>
            <w:tcW w:w="2882" w:type="dxa"/>
            <w:vAlign w:val="center"/>
          </w:tcPr>
          <w:p w:rsidR="00A07960" w:rsidRDefault="00A07960" w:rsidP="00E16642">
            <w:pPr>
              <w:rPr>
                <w:sz w:val="20"/>
                <w:szCs w:val="20"/>
              </w:rPr>
            </w:pPr>
            <w:r>
              <w:rPr>
                <w:sz w:val="20"/>
                <w:szCs w:val="20"/>
              </w:rPr>
              <w:lastRenderedPageBreak/>
              <w:t xml:space="preserve">Participación en proyectos </w:t>
            </w:r>
            <w:r>
              <w:rPr>
                <w:sz w:val="20"/>
                <w:szCs w:val="20"/>
              </w:rPr>
              <w:lastRenderedPageBreak/>
              <w:t>aplicados e internados</w:t>
            </w:r>
          </w:p>
        </w:tc>
      </w:tr>
      <w:tr w:rsidR="00A07960" w:rsidRPr="00AA0575" w:rsidTr="005F30D8">
        <w:tc>
          <w:tcPr>
            <w:tcW w:w="2489" w:type="dxa"/>
            <w:vAlign w:val="center"/>
          </w:tcPr>
          <w:p w:rsidR="00A07960" w:rsidRDefault="00A07960" w:rsidP="00E16642">
            <w:pPr>
              <w:rPr>
                <w:b/>
                <w:bCs/>
                <w:sz w:val="20"/>
                <w:szCs w:val="20"/>
              </w:rPr>
            </w:pPr>
            <w:r>
              <w:rPr>
                <w:b/>
                <w:bCs/>
                <w:sz w:val="20"/>
                <w:szCs w:val="20"/>
              </w:rPr>
              <w:lastRenderedPageBreak/>
              <w:t>Trabajo de grado</w:t>
            </w:r>
          </w:p>
        </w:tc>
        <w:tc>
          <w:tcPr>
            <w:tcW w:w="2881" w:type="dxa"/>
            <w:vAlign w:val="center"/>
          </w:tcPr>
          <w:p w:rsidR="00A07960" w:rsidRDefault="00A07960" w:rsidP="00E16642">
            <w:pPr>
              <w:rPr>
                <w:sz w:val="20"/>
                <w:szCs w:val="20"/>
              </w:rPr>
            </w:pPr>
            <w:r>
              <w:rPr>
                <w:sz w:val="20"/>
                <w:szCs w:val="20"/>
              </w:rPr>
              <w:t>Tesis o disertación: reporte de investigación y creación intelectual</w:t>
            </w:r>
          </w:p>
        </w:tc>
        <w:tc>
          <w:tcPr>
            <w:tcW w:w="2882" w:type="dxa"/>
            <w:vAlign w:val="center"/>
          </w:tcPr>
          <w:p w:rsidR="00A07960" w:rsidRDefault="00A07960" w:rsidP="00E16642">
            <w:pPr>
              <w:rPr>
                <w:sz w:val="20"/>
                <w:szCs w:val="20"/>
              </w:rPr>
            </w:pPr>
            <w:r>
              <w:rPr>
                <w:sz w:val="20"/>
                <w:szCs w:val="20"/>
              </w:rPr>
              <w:t>Tesis o disertación: modelos, sistemas de intervención o sistemas de tratamiento</w:t>
            </w:r>
          </w:p>
        </w:tc>
      </w:tr>
      <w:tr w:rsidR="00356E67" w:rsidRPr="00AA0575" w:rsidTr="005F30D8">
        <w:tc>
          <w:tcPr>
            <w:tcW w:w="2489" w:type="dxa"/>
            <w:vAlign w:val="center"/>
          </w:tcPr>
          <w:p w:rsidR="00356E67" w:rsidRPr="00AA0575" w:rsidRDefault="00356E67" w:rsidP="00E16642">
            <w:pPr>
              <w:rPr>
                <w:b/>
                <w:bCs/>
                <w:sz w:val="20"/>
                <w:szCs w:val="20"/>
                <w:lang w:val="es-MX"/>
              </w:rPr>
            </w:pPr>
            <w:r w:rsidRPr="00AA0575">
              <w:rPr>
                <w:b/>
                <w:bCs/>
                <w:sz w:val="20"/>
                <w:szCs w:val="20"/>
                <w:lang w:val="es-MX"/>
              </w:rPr>
              <w:t>Planta académica</w:t>
            </w:r>
          </w:p>
        </w:tc>
        <w:tc>
          <w:tcPr>
            <w:tcW w:w="2881" w:type="dxa"/>
            <w:vAlign w:val="center"/>
          </w:tcPr>
          <w:p w:rsidR="00356E67" w:rsidRPr="00AA0575" w:rsidRDefault="00356E67" w:rsidP="00E16642">
            <w:pPr>
              <w:rPr>
                <w:sz w:val="20"/>
                <w:szCs w:val="20"/>
                <w:lang w:val="es-MX"/>
              </w:rPr>
            </w:pPr>
            <w:r w:rsidRPr="00AA0575">
              <w:rPr>
                <w:sz w:val="20"/>
                <w:szCs w:val="20"/>
                <w:lang w:val="es-MX"/>
              </w:rPr>
              <w:t xml:space="preserve">Investigadores reconocidos por el </w:t>
            </w:r>
            <w:r w:rsidR="00A07960">
              <w:rPr>
                <w:sz w:val="20"/>
                <w:szCs w:val="20"/>
                <w:lang w:val="es-MX"/>
              </w:rPr>
              <w:t>SNI</w:t>
            </w:r>
          </w:p>
        </w:tc>
        <w:tc>
          <w:tcPr>
            <w:tcW w:w="2882" w:type="dxa"/>
            <w:vAlign w:val="center"/>
          </w:tcPr>
          <w:p w:rsidR="00356E67" w:rsidRPr="00AA0575" w:rsidRDefault="00356E67" w:rsidP="00E16642">
            <w:pPr>
              <w:rPr>
                <w:sz w:val="20"/>
                <w:szCs w:val="20"/>
                <w:lang w:val="es-MX"/>
              </w:rPr>
            </w:pPr>
            <w:r w:rsidRPr="00AA0575">
              <w:rPr>
                <w:sz w:val="20"/>
                <w:szCs w:val="20"/>
                <w:lang w:val="es-MX"/>
              </w:rPr>
              <w:t>Profesores con posgrado y una parte significativa conservando su experiencia profesional</w:t>
            </w:r>
          </w:p>
        </w:tc>
      </w:tr>
      <w:tr w:rsidR="00356E67" w:rsidRPr="00AA0575" w:rsidTr="005F30D8">
        <w:tc>
          <w:tcPr>
            <w:tcW w:w="2489" w:type="dxa"/>
            <w:vAlign w:val="center"/>
          </w:tcPr>
          <w:p w:rsidR="00356E67" w:rsidRPr="00AA0575" w:rsidRDefault="00356E67" w:rsidP="00E16642">
            <w:pPr>
              <w:rPr>
                <w:b/>
                <w:bCs/>
                <w:sz w:val="20"/>
                <w:szCs w:val="20"/>
                <w:lang w:val="es-MX"/>
              </w:rPr>
            </w:pPr>
            <w:r w:rsidRPr="00AA0575">
              <w:rPr>
                <w:b/>
                <w:bCs/>
                <w:sz w:val="20"/>
                <w:szCs w:val="20"/>
                <w:lang w:val="es-MX"/>
              </w:rPr>
              <w:t>Impacto</w:t>
            </w:r>
          </w:p>
        </w:tc>
        <w:tc>
          <w:tcPr>
            <w:tcW w:w="2881" w:type="dxa"/>
            <w:vAlign w:val="center"/>
          </w:tcPr>
          <w:p w:rsidR="00356E67" w:rsidRPr="00AA0575" w:rsidRDefault="00356E67" w:rsidP="00E16642">
            <w:pPr>
              <w:rPr>
                <w:sz w:val="20"/>
                <w:szCs w:val="20"/>
                <w:lang w:val="es-MX"/>
              </w:rPr>
            </w:pPr>
            <w:r w:rsidRPr="00AA0575">
              <w:rPr>
                <w:sz w:val="20"/>
                <w:szCs w:val="20"/>
                <w:lang w:val="es-MX"/>
              </w:rPr>
              <w:t>Atender la necesidad que tiene el país para consolidar e incrementar su planta de investigación en todas las áreas del conocimiento</w:t>
            </w:r>
          </w:p>
        </w:tc>
        <w:tc>
          <w:tcPr>
            <w:tcW w:w="2882" w:type="dxa"/>
            <w:vAlign w:val="center"/>
          </w:tcPr>
          <w:p w:rsidR="00356E67" w:rsidRPr="00AA0575" w:rsidRDefault="00356E67" w:rsidP="00E16642">
            <w:pPr>
              <w:rPr>
                <w:sz w:val="20"/>
                <w:szCs w:val="20"/>
                <w:lang w:val="es-MX"/>
              </w:rPr>
            </w:pPr>
            <w:r w:rsidRPr="00AA0575">
              <w:rPr>
                <w:sz w:val="20"/>
                <w:szCs w:val="20"/>
                <w:lang w:val="es-MX"/>
              </w:rPr>
              <w:t>Atender a la necesidad que tiene el país para contar con profesionistas que a partir de su conocimiento experto incidan en la atención de diversos campos de conocimiento</w:t>
            </w:r>
          </w:p>
        </w:tc>
      </w:tr>
      <w:tr w:rsidR="00356E67" w:rsidRPr="00AA0575" w:rsidTr="005F30D8">
        <w:tc>
          <w:tcPr>
            <w:tcW w:w="2489" w:type="dxa"/>
            <w:vAlign w:val="center"/>
          </w:tcPr>
          <w:p w:rsidR="00356E67" w:rsidRPr="00AA0575" w:rsidRDefault="00356E67" w:rsidP="00E16642">
            <w:pPr>
              <w:rPr>
                <w:b/>
                <w:bCs/>
                <w:sz w:val="20"/>
                <w:szCs w:val="20"/>
                <w:lang w:val="es-MX"/>
              </w:rPr>
            </w:pPr>
            <w:r w:rsidRPr="00AA0575">
              <w:rPr>
                <w:b/>
                <w:bCs/>
                <w:sz w:val="20"/>
                <w:szCs w:val="20"/>
                <w:lang w:val="es-MX"/>
              </w:rPr>
              <w:t>Campos disciplinarios</w:t>
            </w:r>
          </w:p>
        </w:tc>
        <w:tc>
          <w:tcPr>
            <w:tcW w:w="2881" w:type="dxa"/>
            <w:vAlign w:val="center"/>
          </w:tcPr>
          <w:p w:rsidR="00356E67" w:rsidRPr="00AA0575" w:rsidRDefault="00356E67" w:rsidP="00E16642">
            <w:pPr>
              <w:rPr>
                <w:sz w:val="20"/>
                <w:szCs w:val="20"/>
                <w:lang w:val="es-MX"/>
              </w:rPr>
            </w:pPr>
            <w:r w:rsidRPr="00AA0575">
              <w:rPr>
                <w:sz w:val="20"/>
                <w:szCs w:val="20"/>
                <w:lang w:val="es-MX"/>
              </w:rPr>
              <w:t xml:space="preserve">Énfasis en las llamadas disciplinas académicas (Física, Química, Biología, Matemáticas, Sociología, Economía, Filosofía, Literatura, Psicología, Historia, Geografía, Economía, </w:t>
            </w:r>
            <w:proofErr w:type="spellStart"/>
            <w:r w:rsidRPr="00AA0575">
              <w:rPr>
                <w:sz w:val="20"/>
                <w:szCs w:val="20"/>
                <w:lang w:val="es-MX"/>
              </w:rPr>
              <w:t>etc</w:t>
            </w:r>
            <w:proofErr w:type="spellEnd"/>
            <w:r w:rsidRPr="00AA0575">
              <w:rPr>
                <w:sz w:val="20"/>
                <w:szCs w:val="20"/>
                <w:lang w:val="es-MX"/>
              </w:rPr>
              <w:t>)</w:t>
            </w:r>
          </w:p>
          <w:p w:rsidR="00356E67" w:rsidRPr="00AA0575" w:rsidRDefault="00356E67" w:rsidP="00E16642">
            <w:pPr>
              <w:rPr>
                <w:sz w:val="20"/>
                <w:szCs w:val="20"/>
                <w:lang w:val="es-MX"/>
              </w:rPr>
            </w:pPr>
          </w:p>
          <w:p w:rsidR="00356E67" w:rsidRPr="00AA0575" w:rsidRDefault="00356E67" w:rsidP="00E16642">
            <w:pPr>
              <w:rPr>
                <w:sz w:val="20"/>
                <w:szCs w:val="20"/>
                <w:lang w:val="es-MX"/>
              </w:rPr>
            </w:pPr>
            <w:r w:rsidRPr="00AA0575">
              <w:rPr>
                <w:sz w:val="20"/>
                <w:szCs w:val="20"/>
                <w:lang w:val="es-MX"/>
              </w:rPr>
              <w:t>También en disciplinas que integran conocimientos: Medicina, ingeniería, Educación</w:t>
            </w:r>
          </w:p>
          <w:p w:rsidR="00356E67" w:rsidRPr="00AA0575" w:rsidRDefault="00356E67" w:rsidP="00E16642">
            <w:pPr>
              <w:rPr>
                <w:sz w:val="20"/>
                <w:szCs w:val="20"/>
                <w:lang w:val="es-MX"/>
              </w:rPr>
            </w:pPr>
          </w:p>
          <w:p w:rsidR="00356E67" w:rsidRPr="00AA0575" w:rsidRDefault="00356E67" w:rsidP="00E16642">
            <w:pPr>
              <w:rPr>
                <w:sz w:val="20"/>
                <w:szCs w:val="20"/>
                <w:lang w:val="es-MX"/>
              </w:rPr>
            </w:pPr>
            <w:r w:rsidRPr="00AA0575">
              <w:rPr>
                <w:sz w:val="20"/>
                <w:szCs w:val="20"/>
                <w:lang w:val="es-MX"/>
              </w:rPr>
              <w:t>Mayor dificultad en disciplinas con alto componente profesional (Contaduría, Administración,  Derecho)</w:t>
            </w:r>
          </w:p>
        </w:tc>
        <w:tc>
          <w:tcPr>
            <w:tcW w:w="2882" w:type="dxa"/>
            <w:vAlign w:val="center"/>
          </w:tcPr>
          <w:p w:rsidR="00356E67" w:rsidRPr="00AA0575" w:rsidRDefault="00356E67" w:rsidP="00E16642">
            <w:pPr>
              <w:rPr>
                <w:sz w:val="20"/>
                <w:szCs w:val="20"/>
                <w:lang w:val="es-MX"/>
              </w:rPr>
            </w:pPr>
            <w:r w:rsidRPr="00AA0575">
              <w:rPr>
                <w:sz w:val="20"/>
                <w:szCs w:val="20"/>
                <w:lang w:val="es-MX"/>
              </w:rPr>
              <w:t>Énfasis en disciplinas vinculadas a profesiones liberales (Derecho, Ingeniería, Medicina, Contaduría)</w:t>
            </w:r>
          </w:p>
          <w:p w:rsidR="00356E67" w:rsidRPr="00AA0575" w:rsidRDefault="00356E67" w:rsidP="00E16642">
            <w:pPr>
              <w:rPr>
                <w:sz w:val="20"/>
                <w:szCs w:val="20"/>
                <w:lang w:val="es-MX"/>
              </w:rPr>
            </w:pPr>
          </w:p>
          <w:p w:rsidR="00356E67" w:rsidRPr="00AA0575" w:rsidRDefault="00356E67" w:rsidP="00E16642">
            <w:pPr>
              <w:rPr>
                <w:sz w:val="20"/>
                <w:szCs w:val="20"/>
                <w:lang w:val="es-MX"/>
              </w:rPr>
            </w:pPr>
            <w:r w:rsidRPr="00AA0575">
              <w:rPr>
                <w:sz w:val="20"/>
                <w:szCs w:val="20"/>
                <w:lang w:val="es-MX"/>
              </w:rPr>
              <w:t>También en disciplinas que cuentan con ambos ámbitos el profesional y de la investigación: Economía. Sociología, Psicología, Educación</w:t>
            </w:r>
          </w:p>
          <w:p w:rsidR="00356E67" w:rsidRPr="00AA0575" w:rsidRDefault="00356E67" w:rsidP="00E16642">
            <w:pPr>
              <w:rPr>
                <w:sz w:val="20"/>
                <w:szCs w:val="20"/>
                <w:lang w:val="es-MX"/>
              </w:rPr>
            </w:pPr>
          </w:p>
          <w:p w:rsidR="00356E67" w:rsidRPr="00AA0575" w:rsidRDefault="00356E67" w:rsidP="00E16642">
            <w:pPr>
              <w:rPr>
                <w:sz w:val="20"/>
                <w:szCs w:val="20"/>
                <w:lang w:val="es-MX"/>
              </w:rPr>
            </w:pPr>
            <w:r w:rsidRPr="00AA0575">
              <w:rPr>
                <w:sz w:val="20"/>
                <w:szCs w:val="20"/>
                <w:lang w:val="es-MX"/>
              </w:rPr>
              <w:t xml:space="preserve">Mayor dificultad en disciplinas académicas. </w:t>
            </w:r>
          </w:p>
        </w:tc>
      </w:tr>
    </w:tbl>
    <w:p w:rsidR="00356E67" w:rsidRPr="005F30D8" w:rsidRDefault="00356E67" w:rsidP="00A07960">
      <w:pPr>
        <w:ind w:firstLine="708"/>
        <w:rPr>
          <w:sz w:val="22"/>
        </w:rPr>
      </w:pPr>
      <w:r w:rsidRPr="005F30D8">
        <w:rPr>
          <w:sz w:val="22"/>
        </w:rPr>
        <w:t xml:space="preserve">Fuente: Modificado de </w:t>
      </w:r>
      <w:r w:rsidRPr="005F30D8">
        <w:rPr>
          <w:noProof/>
          <w:sz w:val="22"/>
        </w:rPr>
        <w:t xml:space="preserve">Díaz Barriga </w:t>
      </w:r>
      <w:sdt>
        <w:sdtPr>
          <w:rPr>
            <w:noProof/>
            <w:sz w:val="22"/>
          </w:rPr>
          <w:id w:val="942189"/>
          <w:citation/>
        </w:sdtPr>
        <w:sdtEndPr/>
        <w:sdtContent>
          <w:r w:rsidR="0072146B" w:rsidRPr="005F30D8">
            <w:rPr>
              <w:noProof/>
              <w:sz w:val="22"/>
            </w:rPr>
            <w:fldChar w:fldCharType="begin"/>
          </w:r>
          <w:r w:rsidRPr="005F30D8">
            <w:rPr>
              <w:noProof/>
              <w:sz w:val="22"/>
            </w:rPr>
            <w:instrText xml:space="preserve"> CITATION Día06 \n  \t  \l 2058  </w:instrText>
          </w:r>
          <w:r w:rsidR="0072146B" w:rsidRPr="005F30D8">
            <w:rPr>
              <w:noProof/>
              <w:sz w:val="22"/>
            </w:rPr>
            <w:fldChar w:fldCharType="separate"/>
          </w:r>
          <w:r w:rsidRPr="005F30D8">
            <w:rPr>
              <w:noProof/>
              <w:sz w:val="22"/>
            </w:rPr>
            <w:t>(2006)</w:t>
          </w:r>
          <w:r w:rsidR="0072146B" w:rsidRPr="005F30D8">
            <w:rPr>
              <w:noProof/>
              <w:sz w:val="22"/>
            </w:rPr>
            <w:fldChar w:fldCharType="end"/>
          </w:r>
        </w:sdtContent>
      </w:sdt>
      <w:r w:rsidR="00A07960">
        <w:rPr>
          <w:noProof/>
          <w:sz w:val="22"/>
        </w:rPr>
        <w:t xml:space="preserve"> y Sánchez Mariñez (2008)</w:t>
      </w:r>
    </w:p>
    <w:p w:rsidR="00356E67" w:rsidRPr="00EB5CF0" w:rsidRDefault="00356E67" w:rsidP="00E16642"/>
    <w:p w:rsidR="00356E67" w:rsidRPr="00EB5CF0" w:rsidRDefault="00356E67" w:rsidP="00E16642">
      <w:r w:rsidRPr="00EB5CF0">
        <w:lastRenderedPageBreak/>
        <w:t>Actualmente están inscritos en el PNPC de los 1,304 programas, de los cuales 364 se ofrecen en la orientación profesional y 940 en la orientación de investigación</w:t>
      </w:r>
      <w:sdt>
        <w:sdtPr>
          <w:id w:val="6978462"/>
          <w:citation/>
        </w:sdtPr>
        <w:sdtEndPr/>
        <w:sdtContent>
          <w:r w:rsidR="0072146B" w:rsidRPr="00EB5CF0">
            <w:fldChar w:fldCharType="begin"/>
          </w:r>
          <w:r w:rsidRPr="00EB5CF0">
            <w:instrText xml:space="preserve"> CITATION COM \l 2058  </w:instrText>
          </w:r>
          <w:r w:rsidR="0072146B" w:rsidRPr="00EB5CF0">
            <w:fldChar w:fldCharType="separate"/>
          </w:r>
          <w:r w:rsidRPr="00EB5CF0">
            <w:rPr>
              <w:noProof/>
            </w:rPr>
            <w:t xml:space="preserve"> (Ponce Ramírez, 2010)</w:t>
          </w:r>
          <w:r w:rsidR="0072146B" w:rsidRPr="00EB5CF0">
            <w:fldChar w:fldCharType="end"/>
          </w:r>
        </w:sdtContent>
      </w:sdt>
      <w:r w:rsidRPr="00EB5CF0">
        <w:t>; y generalmente los posgraduados ejercen posiciones directivas en todos los sectores de actividad: en el productivo los de especialidad y maestría con orientación profesionalizante; en el sector de educación superior, los de maestría con orientación a la investigación y doctorados; y en centros de investigación los de doctorado</w:t>
      </w:r>
      <w:sdt>
        <w:sdtPr>
          <w:id w:val="942192"/>
          <w:citation/>
        </w:sdtPr>
        <w:sdtEndPr/>
        <w:sdtContent>
          <w:r w:rsidR="0072146B" w:rsidRPr="00EB5CF0">
            <w:fldChar w:fldCharType="begin"/>
          </w:r>
          <w:r w:rsidRPr="00EB5CF0">
            <w:instrText xml:space="preserve"> CITATION Álv03 \t  \l 2058  </w:instrText>
          </w:r>
          <w:r w:rsidR="0072146B" w:rsidRPr="00EB5CF0">
            <w:fldChar w:fldCharType="separate"/>
          </w:r>
          <w:r w:rsidRPr="00EB5CF0">
            <w:rPr>
              <w:noProof/>
            </w:rPr>
            <w:t xml:space="preserve"> (Álvarez Bruneliere, 2003)</w:t>
          </w:r>
          <w:r w:rsidR="0072146B" w:rsidRPr="00EB5CF0">
            <w:fldChar w:fldCharType="end"/>
          </w:r>
        </w:sdtContent>
      </w:sdt>
      <w:r w:rsidRPr="00EB5CF0">
        <w:t>.</w:t>
      </w:r>
    </w:p>
    <w:p w:rsidR="00356E67" w:rsidRPr="00EB5CF0" w:rsidRDefault="00356E67" w:rsidP="00E16642"/>
    <w:p w:rsidR="00A07960" w:rsidRDefault="00A07960" w:rsidP="003E1A0D">
      <w:pPr>
        <w:pStyle w:val="Ttulo2"/>
      </w:pPr>
      <w:bookmarkStart w:id="40" w:name="_Toc308691495"/>
    </w:p>
    <w:p w:rsidR="00356E67" w:rsidRPr="00EB5CF0" w:rsidRDefault="00356E67" w:rsidP="003E1A0D">
      <w:pPr>
        <w:pStyle w:val="Ttulo2"/>
      </w:pPr>
      <w:r w:rsidRPr="00EB5CF0">
        <w:t>Proceso de evaluación para la incorporación de Programas al PNP.</w:t>
      </w:r>
      <w:bookmarkEnd w:id="40"/>
    </w:p>
    <w:p w:rsidR="00356E67" w:rsidRPr="00EB5CF0" w:rsidRDefault="00356E67" w:rsidP="00E16642"/>
    <w:p w:rsidR="00356E67" w:rsidRPr="00EB5CF0" w:rsidRDefault="00356E67" w:rsidP="00E16642">
      <w:r w:rsidRPr="00EB5CF0">
        <w:t xml:space="preserve">Independientemente de la orientación de los programas de posgrados, se lleva el mismo proceso para evaluar su incorporación al PNPC: una autoevaluación del programa a partir de la elaboración de la Planeación Institucional del Posgrado; la evaluación por pares de acuerdo a los criterios del Marco de Referencia y la realización del Plan de Mejora (puede recurrirse a la figura 3 a manera de recordar el proceso). A continuación se desglosarán los tres puntos de la evaluación  para clarificar los requisitos. </w:t>
      </w:r>
    </w:p>
    <w:p w:rsidR="00356E67" w:rsidRPr="00EB5CF0" w:rsidRDefault="00356E67" w:rsidP="00E16642"/>
    <w:p w:rsidR="00356E67" w:rsidRPr="00EB5CF0" w:rsidRDefault="00356E67" w:rsidP="00E16642"/>
    <w:p w:rsidR="00356E67" w:rsidRPr="00E268C6" w:rsidRDefault="00356E67" w:rsidP="00E16642">
      <w:pPr>
        <w:rPr>
          <w:b/>
        </w:rPr>
      </w:pPr>
      <w:r w:rsidRPr="00E268C6">
        <w:rPr>
          <w:b/>
        </w:rPr>
        <w:t>Planeación Institucional del Posgrado (autoevaluación del programa)</w:t>
      </w:r>
    </w:p>
    <w:p w:rsidR="00356E67" w:rsidRPr="00EB5CF0" w:rsidRDefault="00356E67" w:rsidP="00E16642"/>
    <w:p w:rsidR="00356E67" w:rsidRPr="00EB5CF0" w:rsidRDefault="00356E67" w:rsidP="00E16642">
      <w:r w:rsidRPr="00EB5CF0">
        <w:t xml:space="preserve">Se considera que el sistema de garantía de calidad de los posgrados se asegura desde dos ángulos, i) el interno, que significa que las mismas instituciones de educación superior y centros de investigación sean responsables primarios de su propia calidad; y ii) el externo que son las evaluaciones por pares, la certificación y el seguimiento </w:t>
      </w:r>
      <w:sdt>
        <w:sdtPr>
          <w:id w:val="3545692"/>
          <w:citation/>
        </w:sdtPr>
        <w:sdtEndPr/>
        <w:sdtContent>
          <w:r w:rsidR="0072146B" w:rsidRPr="00EB5CF0">
            <w:fldChar w:fldCharType="begin"/>
          </w:r>
          <w:r w:rsidRPr="00EB5CF0">
            <w:instrText xml:space="preserve"> CITATION Álv10 \t  \m Est \l 2058  </w:instrText>
          </w:r>
          <w:r w:rsidR="0072146B" w:rsidRPr="00EB5CF0">
            <w:fldChar w:fldCharType="separate"/>
          </w:r>
          <w:r w:rsidRPr="00EB5CF0">
            <w:rPr>
              <w:noProof/>
            </w:rPr>
            <w:t>(Álvarez Bruneliere &amp; Ponce Ramírez, 2010; COMEPO, 2007a)</w:t>
          </w:r>
          <w:r w:rsidR="0072146B" w:rsidRPr="00EB5CF0">
            <w:fldChar w:fldCharType="end"/>
          </w:r>
        </w:sdtContent>
      </w:sdt>
      <w:r w:rsidRPr="00EB5CF0">
        <w:t xml:space="preserve">. La planeación refiere una serie de documentos que la institución interesada en ingresar al PNP proporciona al Comité de Pares como un referente para su evaluación. </w:t>
      </w:r>
    </w:p>
    <w:p w:rsidR="00356E67" w:rsidRPr="00EB5CF0" w:rsidRDefault="00356E67" w:rsidP="00E16642"/>
    <w:p w:rsidR="00356E67" w:rsidRPr="00EB5CF0" w:rsidRDefault="00356E67" w:rsidP="00E16642">
      <w:r w:rsidRPr="00EB5CF0">
        <w:t>De acuerdo al Modelo del Programa Nacional de Posgrados de Calidad, tanto para la orientación profesional como la de investigación, se consideran los siguientes rubros para realizar los planes que se entregarán al Comité de Pares</w:t>
      </w:r>
      <w:sdt>
        <w:sdtPr>
          <w:id w:val="7183584"/>
          <w:citation/>
        </w:sdtPr>
        <w:sdtEndPr/>
        <w:sdtContent>
          <w:r w:rsidR="0072146B" w:rsidRPr="00EB5CF0">
            <w:fldChar w:fldCharType="begin"/>
          </w:r>
          <w:r w:rsidRPr="00EB5CF0">
            <w:instrText xml:space="preserve"> CITATION CON08 \l 2058  </w:instrText>
          </w:r>
          <w:r w:rsidR="0072146B" w:rsidRPr="00EB5CF0">
            <w:fldChar w:fldCharType="separate"/>
          </w:r>
          <w:r w:rsidRPr="00EB5CF0">
            <w:rPr>
              <w:noProof/>
            </w:rPr>
            <w:t xml:space="preserve"> (CONACyT &amp; SES, 2008)</w:t>
          </w:r>
          <w:r w:rsidR="0072146B" w:rsidRPr="00EB5CF0">
            <w:fldChar w:fldCharType="end"/>
          </w:r>
        </w:sdtContent>
      </w:sdt>
      <w:r w:rsidRPr="00EB5CF0">
        <w:t>:</w:t>
      </w:r>
    </w:p>
    <w:p w:rsidR="00356E67" w:rsidRPr="00EB5CF0" w:rsidRDefault="00356E67" w:rsidP="00E16642"/>
    <w:p w:rsidR="00356E67" w:rsidRPr="00EB5CF0" w:rsidRDefault="00356E67" w:rsidP="005F30D8">
      <w:pPr>
        <w:ind w:left="708"/>
      </w:pPr>
      <w:r w:rsidRPr="00EB5CF0">
        <w:t xml:space="preserve">1. Visión institucional </w:t>
      </w:r>
    </w:p>
    <w:p w:rsidR="00356E67" w:rsidRPr="00EB5CF0" w:rsidRDefault="00356E67" w:rsidP="005F30D8">
      <w:pPr>
        <w:ind w:left="708"/>
      </w:pPr>
      <w:r w:rsidRPr="00EB5CF0">
        <w:t>2. Políticas</w:t>
      </w:r>
    </w:p>
    <w:p w:rsidR="00356E67" w:rsidRPr="00EB5CF0" w:rsidRDefault="00356E67" w:rsidP="005F30D8">
      <w:pPr>
        <w:ind w:left="708"/>
      </w:pPr>
      <w:r w:rsidRPr="00EB5CF0">
        <w:t>3. Objetivos, estos tres primeros puntos pueden incluir datos como declaración explícita de principios que rigen la institución en donde se establezcan los valores académicos y éticos que prevalecerán en el programa, los compromisos en cuanto a la atención a los alumnos y los mecanismos, y las formas de difusión del trabajo académico desarrollado por los profesores y por los estudiantes. Lo anterior debe ser conocido y aceptado por los profesores que participan en el programa</w:t>
      </w:r>
    </w:p>
    <w:p w:rsidR="00356E67" w:rsidRPr="00EB5CF0" w:rsidRDefault="00356E67" w:rsidP="005F30D8">
      <w:pPr>
        <w:ind w:left="708"/>
      </w:pPr>
      <w:r w:rsidRPr="00EB5CF0">
        <w:t>4. Estrategias institucionales sobre el profesorado</w:t>
      </w:r>
    </w:p>
    <w:p w:rsidR="00356E67" w:rsidRPr="00EB5CF0" w:rsidRDefault="00356E67" w:rsidP="005F30D8">
      <w:pPr>
        <w:ind w:left="708"/>
      </w:pPr>
      <w:r w:rsidRPr="00EB5CF0">
        <w:t xml:space="preserve">5. Líneas de investigación para los programas con orientación a la investigación o líneas de aplicación del conocimiento para los programas con orientación profesionalizante, </w:t>
      </w:r>
      <w:sdt>
        <w:sdtPr>
          <w:id w:val="7183585"/>
          <w:citation/>
        </w:sdtPr>
        <w:sdtEndPr/>
        <w:sdtContent>
          <w:r w:rsidR="0072146B" w:rsidRPr="00EB5CF0">
            <w:fldChar w:fldCharType="begin"/>
          </w:r>
          <w:r w:rsidRPr="00EB5CF0">
            <w:instrText xml:space="preserve"> CITATION CONsa \l 2058  </w:instrText>
          </w:r>
          <w:r w:rsidR="0072146B" w:rsidRPr="00EB5CF0">
            <w:fldChar w:fldCharType="separate"/>
          </w:r>
          <w:r w:rsidRPr="00EB5CF0">
            <w:rPr>
              <w:noProof/>
            </w:rPr>
            <w:t>(CONACyT, s. a.)</w:t>
          </w:r>
          <w:r w:rsidR="0072146B" w:rsidRPr="00EB5CF0">
            <w:fldChar w:fldCharType="end"/>
          </w:r>
        </w:sdtContent>
      </w:sdt>
    </w:p>
    <w:p w:rsidR="00356E67" w:rsidRPr="00EB5CF0" w:rsidRDefault="00356E67" w:rsidP="005F30D8">
      <w:pPr>
        <w:ind w:left="708"/>
      </w:pPr>
      <w:r w:rsidRPr="00EB5CF0">
        <w:t xml:space="preserve">6. Estrategias para la elevación de la eficiencia terminal </w:t>
      </w:r>
    </w:p>
    <w:p w:rsidR="00356E67" w:rsidRPr="00EB5CF0" w:rsidRDefault="00356E67" w:rsidP="005F30D8">
      <w:pPr>
        <w:ind w:left="708"/>
      </w:pPr>
      <w:r w:rsidRPr="00EB5CF0">
        <w:t xml:space="preserve">7. Estrategias empleadas para productividad científica </w:t>
      </w:r>
    </w:p>
    <w:p w:rsidR="00356E67" w:rsidRPr="00EB5CF0" w:rsidRDefault="00356E67" w:rsidP="005F30D8">
      <w:pPr>
        <w:ind w:left="708"/>
      </w:pPr>
      <w:r w:rsidRPr="00EB5CF0">
        <w:t>8. Estrategias de la participación de los estudiantes en el proceso de mejora de la calidad</w:t>
      </w:r>
    </w:p>
    <w:p w:rsidR="00356E67" w:rsidRPr="00EB5CF0" w:rsidRDefault="00356E67" w:rsidP="005F30D8">
      <w:pPr>
        <w:ind w:left="708"/>
      </w:pPr>
      <w:r w:rsidRPr="00EB5CF0">
        <w:t>9. Acciones realizadas para la mejora de la calidad</w:t>
      </w:r>
    </w:p>
    <w:p w:rsidR="00356E67" w:rsidRPr="00EB5CF0" w:rsidRDefault="00356E67" w:rsidP="005F30D8">
      <w:pPr>
        <w:ind w:left="708"/>
      </w:pPr>
      <w:r w:rsidRPr="00EB5CF0">
        <w:t>10. Identificación de fortalezas y problemas, así como las propuestas para atenderlos.</w:t>
      </w:r>
    </w:p>
    <w:p w:rsidR="00356E67" w:rsidRPr="00EB5CF0" w:rsidRDefault="00356E67" w:rsidP="00E16642"/>
    <w:p w:rsidR="00356E67" w:rsidRPr="00EB5CF0" w:rsidRDefault="00356E67" w:rsidP="00E16642">
      <w:r w:rsidRPr="00EB5CF0">
        <w:t xml:space="preserve">El orden es el que presenta el CONACyT, sin embargo, para facilitar su entendimiento se ha realizado la figura 6 en donde se conjuntan los diez puntos anteriores en tres categorías (se dejó la numeración para realizar la vinculación): </w:t>
      </w:r>
      <w:r w:rsidRPr="00EB5CF0">
        <w:lastRenderedPageBreak/>
        <w:t>la primera trata acerca del programa y las propuestas para la mejora, la segunda sobre la planta académica y la tercera sobre los alumnos.</w:t>
      </w:r>
    </w:p>
    <w:p w:rsidR="00356E67" w:rsidRPr="00EB5CF0" w:rsidRDefault="00356E67" w:rsidP="00E16642"/>
    <w:p w:rsidR="00356E67" w:rsidRPr="005F30D8" w:rsidRDefault="00356E67" w:rsidP="005F30D8">
      <w:pPr>
        <w:jc w:val="center"/>
        <w:rPr>
          <w:sz w:val="22"/>
        </w:rPr>
      </w:pPr>
      <w:r w:rsidRPr="005F30D8">
        <w:rPr>
          <w:sz w:val="22"/>
        </w:rPr>
        <w:t>Figura 6. Requisitos para presentar la planeación institucional del Posgrado</w:t>
      </w:r>
    </w:p>
    <w:p w:rsidR="00356E67" w:rsidRPr="00EB5CF0" w:rsidRDefault="00356E67" w:rsidP="00E16642">
      <w:r w:rsidRPr="00EB5CF0">
        <w:rPr>
          <w:noProof/>
          <w:lang w:eastAsia="es-MX"/>
        </w:rPr>
        <w:drawing>
          <wp:inline distT="0" distB="0" distL="0" distR="0">
            <wp:extent cx="5400040" cy="3150235"/>
            <wp:effectExtent l="19050" t="38100" r="4826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356E67" w:rsidRPr="005F30D8" w:rsidRDefault="00356E67" w:rsidP="005F30D8">
      <w:pPr>
        <w:ind w:left="708" w:right="900"/>
        <w:rPr>
          <w:sz w:val="22"/>
        </w:rPr>
      </w:pPr>
      <w:r w:rsidRPr="005F30D8">
        <w:rPr>
          <w:sz w:val="22"/>
        </w:rPr>
        <w:t>Fuente: elaboración propia. Conjunta los criterios requeridos para la presentación de la planeación del Programa aspirante a ingresar al PNP en tres rubros a) el programa y las propuestas para la mejora, b) la planta académica y c) los alumnos, se mantiene la numeración presentada en el texto para facilitar su correlación visual.</w:t>
      </w:r>
    </w:p>
    <w:p w:rsidR="00356E67" w:rsidRPr="00EB5CF0" w:rsidRDefault="00356E67" w:rsidP="00E16642"/>
    <w:p w:rsidR="00356E67" w:rsidRPr="00EB5CF0" w:rsidRDefault="00356E67" w:rsidP="00E16642">
      <w:r w:rsidRPr="00EB5CF0">
        <w:t xml:space="preserve">A manera de síntesis el plan de estudios debe permitir “visualizar la congruencia de la propuesta de formación con el perfil de egreso, el diagnóstico socioeconómico y el estado del arte en los campos de conocimiento que justifican la pertinencia del programa” </w:t>
      </w:r>
      <w:sdt>
        <w:sdtPr>
          <w:id w:val="6978464"/>
          <w:citation/>
        </w:sdtPr>
        <w:sdtEndPr/>
        <w:sdtContent>
          <w:r w:rsidR="0072146B" w:rsidRPr="00EB5CF0">
            <w:fldChar w:fldCharType="begin"/>
          </w:r>
          <w:r w:rsidRPr="00EB5CF0">
            <w:instrText xml:space="preserve"> CITATION CON0b \p 3 \l 2058  </w:instrText>
          </w:r>
          <w:r w:rsidR="0072146B" w:rsidRPr="00EB5CF0">
            <w:fldChar w:fldCharType="separate"/>
          </w:r>
          <w:r w:rsidRPr="00EB5CF0">
            <w:rPr>
              <w:noProof/>
            </w:rPr>
            <w:t>(CONACyT, 2010a, pág. 3)</w:t>
          </w:r>
          <w:r w:rsidR="0072146B" w:rsidRPr="00EB5CF0">
            <w:fldChar w:fldCharType="end"/>
          </w:r>
        </w:sdtContent>
      </w:sdt>
      <w:r w:rsidRPr="00EB5CF0">
        <w:t>.</w:t>
      </w:r>
    </w:p>
    <w:p w:rsidR="00356E67" w:rsidRPr="00EB5CF0" w:rsidRDefault="00356E67" w:rsidP="00E16642"/>
    <w:p w:rsidR="00356E67" w:rsidRPr="00E268C6" w:rsidRDefault="00436C36" w:rsidP="00E16642">
      <w:pPr>
        <w:rPr>
          <w:b/>
        </w:rPr>
      </w:pPr>
      <w:r w:rsidRPr="00E268C6">
        <w:rPr>
          <w:b/>
        </w:rPr>
        <w:t>Marco de Referencia: c</w:t>
      </w:r>
      <w:r w:rsidR="00356E67" w:rsidRPr="00E268C6">
        <w:rPr>
          <w:b/>
        </w:rPr>
        <w:t xml:space="preserve">ategorías y criterios del Modelo </w:t>
      </w:r>
    </w:p>
    <w:p w:rsidR="00356E67" w:rsidRPr="00EB5CF0" w:rsidRDefault="00356E67" w:rsidP="00E16642">
      <w:pPr>
        <w:rPr>
          <w:b/>
        </w:rPr>
      </w:pPr>
    </w:p>
    <w:p w:rsidR="00356E67" w:rsidRPr="00EB5CF0" w:rsidRDefault="00356E67" w:rsidP="00E16642">
      <w:r w:rsidRPr="00EB5CF0">
        <w:t xml:space="preserve">Las categorías y criterios del Modelo del Programa Nacional de Posgrados de Calidad que se tienen para evaluar a los programas aspirantes para ingresar al </w:t>
      </w:r>
      <w:r w:rsidRPr="00EB5CF0">
        <w:lastRenderedPageBreak/>
        <w:t>PNPC están conformadas en seis aspectos: 1) Estructura del programa, 2) Estudiantes, 3) Personal académico, 4) Infraestructura, 5) Resultados, 6) Cooperación con otros actores de la sociedad. Los primeros cuatro son procesos facilitadores y los dos últimos son criterios de productividad académica.</w:t>
      </w:r>
    </w:p>
    <w:p w:rsidR="00356E67" w:rsidRPr="00EB5CF0" w:rsidRDefault="00356E67" w:rsidP="00E16642"/>
    <w:p w:rsidR="00356E67" w:rsidRPr="00436C36" w:rsidRDefault="00356E67" w:rsidP="00E16642">
      <w:pPr>
        <w:rPr>
          <w:b/>
        </w:rPr>
      </w:pPr>
      <w:r w:rsidRPr="00436C36">
        <w:rPr>
          <w:b/>
        </w:rPr>
        <w:t>Facilitadores.</w:t>
      </w:r>
    </w:p>
    <w:p w:rsidR="00356E67" w:rsidRPr="00EB5CF0" w:rsidRDefault="00356E67" w:rsidP="00E16642"/>
    <w:p w:rsidR="00356E67" w:rsidRPr="00EB5CF0" w:rsidRDefault="00356E67" w:rsidP="00E16642">
      <w:pPr>
        <w:rPr>
          <w:bCs/>
        </w:rPr>
      </w:pPr>
      <w:r w:rsidRPr="00A32E95">
        <w:t xml:space="preserve">1) La </w:t>
      </w:r>
      <w:r w:rsidRPr="00436C36">
        <w:rPr>
          <w:b/>
        </w:rPr>
        <w:t>estructura del programa</w:t>
      </w:r>
      <w:r w:rsidRPr="00EB5CF0">
        <w:t xml:space="preserve"> se divide en dos etapas (figura 7): a) el plan de estudio que incluye el perfil de ingreso de los estudiantes y de egreso de los graduados, los objetivos y las metas, la congruencia del plan de estudios, la organización curricular, el requisito de dominio de lenguas extranjeras y la actualización del plan de estudios y b) el proceso de enseñanza-aprendizaje que trata de la flexibilidad curricular y la evaluación del desempeño académico de los estudiantes las tecnologías de información y comunicaciones auxiliares.</w:t>
      </w:r>
    </w:p>
    <w:p w:rsidR="00356E67" w:rsidRPr="00EB5CF0" w:rsidRDefault="00356E67" w:rsidP="00E16642">
      <w:pPr>
        <w:rPr>
          <w:bCs/>
        </w:rPr>
      </w:pPr>
    </w:p>
    <w:p w:rsidR="00356E67" w:rsidRPr="005F30D8" w:rsidRDefault="00356E67" w:rsidP="005F30D8">
      <w:pPr>
        <w:jc w:val="center"/>
        <w:rPr>
          <w:bCs/>
          <w:sz w:val="22"/>
        </w:rPr>
      </w:pPr>
      <w:r w:rsidRPr="005F30D8">
        <w:rPr>
          <w:bCs/>
          <w:sz w:val="22"/>
        </w:rPr>
        <w:t>Figura 7. Categorías de la estructura del programa</w:t>
      </w:r>
    </w:p>
    <w:p w:rsidR="00356E67" w:rsidRPr="00EB5CF0" w:rsidRDefault="00356E67" w:rsidP="00E16642">
      <w:pPr>
        <w:rPr>
          <w:bCs/>
        </w:rPr>
      </w:pPr>
      <w:r w:rsidRPr="00EB5CF0">
        <w:rPr>
          <w:bCs/>
          <w:noProof/>
          <w:lang w:eastAsia="es-MX"/>
        </w:rPr>
        <w:drawing>
          <wp:inline distT="0" distB="0" distL="0" distR="0">
            <wp:extent cx="5402688" cy="1828800"/>
            <wp:effectExtent l="0" t="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356E67" w:rsidRPr="005F30D8" w:rsidRDefault="00356E67" w:rsidP="005F30D8">
      <w:pPr>
        <w:ind w:left="708" w:right="900"/>
        <w:rPr>
          <w:bCs/>
          <w:sz w:val="22"/>
        </w:rPr>
      </w:pPr>
      <w:r w:rsidRPr="005F30D8">
        <w:rPr>
          <w:bCs/>
          <w:sz w:val="22"/>
        </w:rPr>
        <w:t>Fuente: Elaboración propia, visualiza los dos puntos de la Estructura del programa que debe presentar el aspirante al PNP.</w:t>
      </w:r>
    </w:p>
    <w:p w:rsidR="00356E67" w:rsidRPr="005F30D8" w:rsidRDefault="00356E67" w:rsidP="005F30D8">
      <w:pPr>
        <w:ind w:left="708"/>
        <w:rPr>
          <w:bCs/>
          <w:sz w:val="22"/>
        </w:rPr>
      </w:pPr>
    </w:p>
    <w:p w:rsidR="00356E67" w:rsidRPr="00EB5CF0" w:rsidRDefault="00356E67" w:rsidP="00E16642">
      <w:pPr>
        <w:rPr>
          <w:bCs/>
        </w:rPr>
      </w:pPr>
      <w:r w:rsidRPr="00EB5CF0">
        <w:rPr>
          <w:bCs/>
        </w:rPr>
        <w:t xml:space="preserve">2) En el elemento de </w:t>
      </w:r>
      <w:r w:rsidRPr="00436C36">
        <w:rPr>
          <w:b/>
        </w:rPr>
        <w:t>estudiantes</w:t>
      </w:r>
      <w:r w:rsidRPr="00436C36">
        <w:rPr>
          <w:b/>
          <w:bCs/>
        </w:rPr>
        <w:t xml:space="preserve"> </w:t>
      </w:r>
      <w:r w:rsidRPr="00EB5CF0">
        <w:rPr>
          <w:bCs/>
        </w:rPr>
        <w:t>se analizan:</w:t>
      </w:r>
    </w:p>
    <w:p w:rsidR="00356E67" w:rsidRPr="00EB5CF0" w:rsidRDefault="00356E67" w:rsidP="00E16642">
      <w:pPr>
        <w:rPr>
          <w:bCs/>
        </w:rPr>
      </w:pPr>
      <w:r w:rsidRPr="00EB5CF0">
        <w:rPr>
          <w:bCs/>
        </w:rPr>
        <w:t xml:space="preserve">-el ingreso o selección de aspirantes; que implica el rigor académico en los criterios, requisitos, procedimientos e instrumentos utilizados en la selección de estudiantes. En este rubro también se realiza la revisión de los mecanismos específicos del tránsito del nivel superior al posgrado en una misma institución, en </w:t>
      </w:r>
      <w:r w:rsidRPr="00EB5CF0">
        <w:rPr>
          <w:bCs/>
        </w:rPr>
        <w:lastRenderedPageBreak/>
        <w:t xml:space="preserve">el caso de los </w:t>
      </w:r>
      <w:proofErr w:type="spellStart"/>
      <w:r w:rsidRPr="00EB5CF0">
        <w:rPr>
          <w:bCs/>
        </w:rPr>
        <w:t>PrgOI</w:t>
      </w:r>
      <w:proofErr w:type="spellEnd"/>
      <w:r w:rsidRPr="00EB5CF0">
        <w:rPr>
          <w:bCs/>
        </w:rPr>
        <w:t xml:space="preserve"> se prevé el paso directo al doctorado desde la licenciatura </w:t>
      </w:r>
      <w:sdt>
        <w:sdtPr>
          <w:rPr>
            <w:bCs/>
          </w:rPr>
          <w:id w:val="7183589"/>
          <w:citation/>
        </w:sdtPr>
        <w:sdtEndPr/>
        <w:sdtContent>
          <w:r w:rsidR="0072146B" w:rsidRPr="00EB5CF0">
            <w:rPr>
              <w:bCs/>
            </w:rPr>
            <w:fldChar w:fldCharType="begin"/>
          </w:r>
          <w:r w:rsidRPr="00EB5CF0">
            <w:rPr>
              <w:bCs/>
            </w:rPr>
            <w:instrText xml:space="preserve"> CITATION CONsa \l 2058  </w:instrText>
          </w:r>
          <w:r w:rsidR="0072146B" w:rsidRPr="00EB5CF0">
            <w:rPr>
              <w:bCs/>
            </w:rPr>
            <w:fldChar w:fldCharType="separate"/>
          </w:r>
          <w:r w:rsidRPr="00EB5CF0">
            <w:rPr>
              <w:noProof/>
            </w:rPr>
            <w:t>(CONACyT, s. a.)</w:t>
          </w:r>
          <w:r w:rsidR="0072146B" w:rsidRPr="00EB5CF0">
            <w:rPr>
              <w:bCs/>
            </w:rPr>
            <w:fldChar w:fldCharType="end"/>
          </w:r>
        </w:sdtContent>
      </w:sdt>
      <w:r w:rsidRPr="00EB5CF0">
        <w:rPr>
          <w:bCs/>
        </w:rPr>
        <w:t>.</w:t>
      </w:r>
    </w:p>
    <w:p w:rsidR="00356E67" w:rsidRPr="00EB5CF0" w:rsidRDefault="00356E67" w:rsidP="00E16642">
      <w:pPr>
        <w:rPr>
          <w:bCs/>
        </w:rPr>
      </w:pPr>
    </w:p>
    <w:p w:rsidR="00356E67" w:rsidRPr="00EB5CF0" w:rsidRDefault="00356E67" w:rsidP="00E16642">
      <w:pPr>
        <w:rPr>
          <w:bCs/>
        </w:rPr>
      </w:pPr>
      <w:r w:rsidRPr="00EB5CF0">
        <w:rPr>
          <w:bCs/>
        </w:rPr>
        <w:t>-la trayectoria escolar es en donde se evalúa la efectividad, la constante actualización del registro y el análisis de la información obtenida que abarca de manera general el ingreso, permanencia y las opciones, mecanismos e índices de graduación; y de manera particular, la duración de los estudios, la tasa de retención y los índices de aprobación, de deserción y de rezago.</w:t>
      </w:r>
    </w:p>
    <w:p w:rsidR="00356E67" w:rsidRPr="00EB5CF0" w:rsidRDefault="00356E67" w:rsidP="00E16642">
      <w:pPr>
        <w:rPr>
          <w:bCs/>
        </w:rPr>
      </w:pPr>
    </w:p>
    <w:p w:rsidR="00356E67" w:rsidRPr="00EB5CF0" w:rsidRDefault="00356E67" w:rsidP="00E16642">
      <w:pPr>
        <w:rPr>
          <w:bCs/>
        </w:rPr>
      </w:pPr>
      <w:r w:rsidRPr="00EB5CF0">
        <w:rPr>
          <w:bCs/>
        </w:rPr>
        <w:t xml:space="preserve">En este punto es importante mencionar la diferenciación entre lo que se entiende por eficiencia terminal en los </w:t>
      </w:r>
      <w:proofErr w:type="spellStart"/>
      <w:r w:rsidRPr="00EB5CF0">
        <w:rPr>
          <w:bCs/>
        </w:rPr>
        <w:t>PrgOP</w:t>
      </w:r>
      <w:proofErr w:type="spellEnd"/>
      <w:r w:rsidRPr="00EB5CF0">
        <w:rPr>
          <w:bCs/>
        </w:rPr>
        <w:t xml:space="preserve"> y en los </w:t>
      </w:r>
      <w:proofErr w:type="spellStart"/>
      <w:r w:rsidRPr="00EB5CF0">
        <w:rPr>
          <w:bCs/>
        </w:rPr>
        <w:t>PrgOI</w:t>
      </w:r>
      <w:proofErr w:type="spellEnd"/>
      <w:r w:rsidRPr="00EB5CF0">
        <w:rPr>
          <w:bCs/>
        </w:rPr>
        <w:t>.</w:t>
      </w:r>
    </w:p>
    <w:p w:rsidR="00356E67" w:rsidRPr="00EB5CF0" w:rsidRDefault="00356E67" w:rsidP="00E16642">
      <w:pPr>
        <w:rPr>
          <w:bCs/>
        </w:rPr>
      </w:pPr>
    </w:p>
    <w:p w:rsidR="00356E67" w:rsidRPr="00EB5CF0" w:rsidRDefault="00356E67" w:rsidP="00E16642">
      <w:pPr>
        <w:rPr>
          <w:bCs/>
        </w:rPr>
      </w:pPr>
      <w:r w:rsidRPr="00EB5CF0">
        <w:rPr>
          <w:bCs/>
        </w:rPr>
        <w:t xml:space="preserve">En los </w:t>
      </w:r>
      <w:proofErr w:type="spellStart"/>
      <w:r w:rsidRPr="00EB5CF0">
        <w:rPr>
          <w:bCs/>
        </w:rPr>
        <w:t>PrgOP</w:t>
      </w:r>
      <w:proofErr w:type="spellEnd"/>
      <w:r w:rsidRPr="00EB5CF0">
        <w:rPr>
          <w:bCs/>
        </w:rPr>
        <w:t xml:space="preserve"> se mide por cohorte generacional en términos de la relación ingreso-graduados. El tiempo que debe ser considerado para la obtención del grado es en las especialidades igual a la duración del programa y en el caso de maestrías si se busca el Padrón de Posgrados Consolidados (a nivel nacional) hasta tres años, con un parámetro en el que el tiempo promedio de graduación debe ser igual o mayor al 50%, aunque esta eficiencia debe incrementarse al 70% después de los dos años de obtenido el registro en el PNP, y para el Padrón de Posgrados de Competencia Internacional, el lapso es de dos años y medio para la graduación y se requiere que dicha eficiencia terminal en tiempo promedio sea de 70%</w:t>
      </w:r>
      <w:sdt>
        <w:sdtPr>
          <w:rPr>
            <w:bCs/>
          </w:rPr>
          <w:id w:val="7183579"/>
          <w:citation/>
        </w:sdtPr>
        <w:sdtEndPr/>
        <w:sdtContent>
          <w:r w:rsidR="0072146B" w:rsidRPr="00EB5CF0">
            <w:rPr>
              <w:bCs/>
            </w:rPr>
            <w:fldChar w:fldCharType="begin"/>
          </w:r>
          <w:r w:rsidRPr="00EB5CF0">
            <w:rPr>
              <w:bCs/>
            </w:rPr>
            <w:instrText xml:space="preserve"> CITATION CONsa \l 2058  </w:instrText>
          </w:r>
          <w:r w:rsidR="0072146B" w:rsidRPr="00EB5CF0">
            <w:rPr>
              <w:bCs/>
            </w:rPr>
            <w:fldChar w:fldCharType="separate"/>
          </w:r>
          <w:r w:rsidRPr="00EB5CF0">
            <w:rPr>
              <w:noProof/>
            </w:rPr>
            <w:t>(CONACyT, s. a.)</w:t>
          </w:r>
          <w:r w:rsidR="0072146B" w:rsidRPr="00EB5CF0">
            <w:rPr>
              <w:bCs/>
            </w:rPr>
            <w:fldChar w:fldCharType="end"/>
          </w:r>
        </w:sdtContent>
      </w:sdt>
      <w:r w:rsidRPr="00EB5CF0">
        <w:rPr>
          <w:bCs/>
        </w:rPr>
        <w:t>.</w:t>
      </w:r>
    </w:p>
    <w:p w:rsidR="00356E67" w:rsidRPr="00EB5CF0" w:rsidRDefault="00356E67" w:rsidP="00E16642">
      <w:pPr>
        <w:rPr>
          <w:bCs/>
        </w:rPr>
      </w:pPr>
    </w:p>
    <w:p w:rsidR="00356E67" w:rsidRPr="00EB5CF0" w:rsidRDefault="00356E67" w:rsidP="00E16642">
      <w:pPr>
        <w:rPr>
          <w:b/>
          <w:bCs/>
          <w:i/>
          <w:iCs/>
        </w:rPr>
      </w:pPr>
      <w:r w:rsidRPr="00EB5CF0">
        <w:rPr>
          <w:bCs/>
        </w:rPr>
        <w:t xml:space="preserve">Por otro lado en los </w:t>
      </w:r>
      <w:proofErr w:type="spellStart"/>
      <w:r w:rsidRPr="00EB5CF0">
        <w:rPr>
          <w:bCs/>
        </w:rPr>
        <w:t>PrgOI</w:t>
      </w:r>
      <w:proofErr w:type="spellEnd"/>
      <w:r w:rsidRPr="00EB5CF0">
        <w:rPr>
          <w:bCs/>
        </w:rPr>
        <w:t xml:space="preserve"> cuando es considerado Programa Consolidado (nacional) se evalúa la relación graduados-ingreso, el tiempo promedio para la obtención del grado es hasta de tres años para maestría y cuatro y medio para doctorado, en cuanto a los Programas de Competencia internacional el lapso es de dos y medio años para maestría y de cuatro años para doctorado. Los porcentajes de proporción de estudiantes graduados en el tiempo promedio son equivalentes a los </w:t>
      </w:r>
      <w:proofErr w:type="spellStart"/>
      <w:r w:rsidRPr="00EB5CF0">
        <w:rPr>
          <w:bCs/>
        </w:rPr>
        <w:t>PrgOP</w:t>
      </w:r>
      <w:proofErr w:type="spellEnd"/>
      <w:r w:rsidRPr="00EB5CF0">
        <w:rPr>
          <w:bCs/>
        </w:rPr>
        <w:t xml:space="preserve"> </w:t>
      </w:r>
      <w:sdt>
        <w:sdtPr>
          <w:rPr>
            <w:bCs/>
          </w:rPr>
          <w:id w:val="7183586"/>
          <w:citation/>
        </w:sdtPr>
        <w:sdtEndPr/>
        <w:sdtContent>
          <w:r w:rsidR="0072146B" w:rsidRPr="00EB5CF0">
            <w:rPr>
              <w:bCs/>
            </w:rPr>
            <w:fldChar w:fldCharType="begin"/>
          </w:r>
          <w:r w:rsidRPr="00EB5CF0">
            <w:rPr>
              <w:bCs/>
            </w:rPr>
            <w:instrText xml:space="preserve"> CITATION CONsa \l 2058  </w:instrText>
          </w:r>
          <w:r w:rsidR="0072146B" w:rsidRPr="00EB5CF0">
            <w:rPr>
              <w:bCs/>
            </w:rPr>
            <w:fldChar w:fldCharType="separate"/>
          </w:r>
          <w:r w:rsidRPr="00EB5CF0">
            <w:rPr>
              <w:noProof/>
            </w:rPr>
            <w:t>(CONACyT, s. a.)</w:t>
          </w:r>
          <w:r w:rsidR="0072146B" w:rsidRPr="00EB5CF0">
            <w:rPr>
              <w:bCs/>
            </w:rPr>
            <w:fldChar w:fldCharType="end"/>
          </w:r>
        </w:sdtContent>
      </w:sdt>
      <w:r w:rsidRPr="00EB5CF0">
        <w:rPr>
          <w:bCs/>
        </w:rPr>
        <w:t>.</w:t>
      </w:r>
    </w:p>
    <w:p w:rsidR="00356E67" w:rsidRPr="00EB5CF0" w:rsidRDefault="00356E67" w:rsidP="00E16642">
      <w:pPr>
        <w:rPr>
          <w:b/>
          <w:bCs/>
          <w:i/>
          <w:iCs/>
        </w:rPr>
      </w:pPr>
    </w:p>
    <w:p w:rsidR="00356E67" w:rsidRPr="00EB5CF0" w:rsidRDefault="00356E67" w:rsidP="00E16642">
      <w:pPr>
        <w:rPr>
          <w:bCs/>
        </w:rPr>
      </w:pPr>
      <w:r w:rsidRPr="00EB5CF0">
        <w:rPr>
          <w:bCs/>
        </w:rPr>
        <w:lastRenderedPageBreak/>
        <w:t>-la movilidad de estudiantes evalúa el alcance de los mecanismos y procedimientos que facilitan la movilidad a instituciones afines ya sea nacionales o internacionales, por ejemplo las becas mixtas, codirección de tesis, cursos con valor curricular y participación en eventos académicos; los programas de tutorías, es decir, orientación que recibe el estudiante ya que cada uno debe contar con un tutor desde su ingreso al programa y es el responsable del programa quien lo asigna; y la dedicación exclusiva por medio de un programa de becas.</w:t>
      </w:r>
    </w:p>
    <w:p w:rsidR="00356E67" w:rsidRPr="00EB5CF0" w:rsidRDefault="00356E67" w:rsidP="00E16642">
      <w:pPr>
        <w:rPr>
          <w:bCs/>
        </w:rPr>
      </w:pPr>
    </w:p>
    <w:p w:rsidR="00356E67" w:rsidRPr="00EB5CF0" w:rsidRDefault="00356E67" w:rsidP="00E16642">
      <w:pPr>
        <w:rPr>
          <w:bCs/>
        </w:rPr>
      </w:pPr>
      <w:r w:rsidRPr="00EB5CF0">
        <w:rPr>
          <w:bCs/>
        </w:rPr>
        <w:t xml:space="preserve">Las becas pueden ser institucionales, del mismo CONACyT u otros organismos de fomento, por ejemplo para los </w:t>
      </w:r>
      <w:proofErr w:type="spellStart"/>
      <w:r w:rsidRPr="00EB5CF0">
        <w:rPr>
          <w:bCs/>
        </w:rPr>
        <w:t>PrgOP</w:t>
      </w:r>
      <w:proofErr w:type="spellEnd"/>
      <w:r w:rsidRPr="00EB5CF0">
        <w:rPr>
          <w:bCs/>
        </w:rPr>
        <w:t xml:space="preserve"> las fuentes de financiamiento generalmente se obtienen de la colaboración interinstitucional de organismos financieros o de contrato con el sector productivo o de servicios; mientras que para los </w:t>
      </w:r>
      <w:proofErr w:type="spellStart"/>
      <w:r w:rsidRPr="00EB5CF0">
        <w:rPr>
          <w:bCs/>
        </w:rPr>
        <w:t>PrgOI</w:t>
      </w:r>
      <w:proofErr w:type="spellEnd"/>
      <w:r w:rsidRPr="00EB5CF0">
        <w:rPr>
          <w:bCs/>
        </w:rPr>
        <w:t xml:space="preserve"> las fuentes de financiamiento provienen de convenios de colaboración con otras Instituciones de Educación Superior o con instituciones de investigación externa al programa </w:t>
      </w:r>
      <w:sdt>
        <w:sdtPr>
          <w:rPr>
            <w:bCs/>
          </w:rPr>
          <w:id w:val="7183587"/>
          <w:citation/>
        </w:sdtPr>
        <w:sdtEndPr/>
        <w:sdtContent>
          <w:r w:rsidR="0072146B" w:rsidRPr="00EB5CF0">
            <w:rPr>
              <w:bCs/>
            </w:rPr>
            <w:fldChar w:fldCharType="begin"/>
          </w:r>
          <w:r w:rsidRPr="00EB5CF0">
            <w:rPr>
              <w:bCs/>
            </w:rPr>
            <w:instrText xml:space="preserve"> CITATION CONsa \l 2058  </w:instrText>
          </w:r>
          <w:r w:rsidR="0072146B" w:rsidRPr="00EB5CF0">
            <w:rPr>
              <w:bCs/>
            </w:rPr>
            <w:fldChar w:fldCharType="separate"/>
          </w:r>
          <w:r w:rsidRPr="00EB5CF0">
            <w:rPr>
              <w:noProof/>
            </w:rPr>
            <w:t>(CONACyT, s. a.)</w:t>
          </w:r>
          <w:r w:rsidR="0072146B" w:rsidRPr="00EB5CF0">
            <w:rPr>
              <w:bCs/>
            </w:rPr>
            <w:fldChar w:fldCharType="end"/>
          </w:r>
        </w:sdtContent>
      </w:sdt>
      <w:r w:rsidRPr="00EB5CF0">
        <w:rPr>
          <w:bCs/>
        </w:rPr>
        <w:t xml:space="preserve">. En cuanto a su otorgamiento, en el caso de los </w:t>
      </w:r>
      <w:proofErr w:type="spellStart"/>
      <w:r w:rsidRPr="00EB5CF0">
        <w:rPr>
          <w:bCs/>
        </w:rPr>
        <w:t>PrgOP</w:t>
      </w:r>
      <w:proofErr w:type="spellEnd"/>
      <w:r w:rsidRPr="00EB5CF0">
        <w:rPr>
          <w:bCs/>
        </w:rPr>
        <w:t xml:space="preserve"> dependerá del perfil del mismo y </w:t>
      </w:r>
      <w:r w:rsidR="00AB32CA">
        <w:rPr>
          <w:bCs/>
        </w:rPr>
        <w:t>solo</w:t>
      </w:r>
      <w:r w:rsidRPr="00EB5CF0">
        <w:rPr>
          <w:bCs/>
        </w:rPr>
        <w:t xml:space="preserve"> otorgará becas el CONACyT a estudiantes de tiempo completo de dedicación al programa y en la modalidad presencial, mientras que para los </w:t>
      </w:r>
      <w:proofErr w:type="spellStart"/>
      <w:r w:rsidRPr="00EB5CF0">
        <w:rPr>
          <w:bCs/>
        </w:rPr>
        <w:t>PrgOI</w:t>
      </w:r>
      <w:proofErr w:type="spellEnd"/>
      <w:r w:rsidRPr="00EB5CF0">
        <w:rPr>
          <w:bCs/>
        </w:rPr>
        <w:t>, el Consejo recomienda que como mínimo el 80% de estudiantes estén becados por tiempo completo y con formato presencial</w:t>
      </w:r>
      <w:sdt>
        <w:sdtPr>
          <w:rPr>
            <w:bCs/>
          </w:rPr>
          <w:id w:val="6978470"/>
          <w:citation/>
        </w:sdtPr>
        <w:sdtEndPr/>
        <w:sdtContent>
          <w:r w:rsidR="0072146B" w:rsidRPr="00EB5CF0">
            <w:rPr>
              <w:bCs/>
            </w:rPr>
            <w:fldChar w:fldCharType="begin"/>
          </w:r>
          <w:r w:rsidRPr="00EB5CF0">
            <w:rPr>
              <w:bCs/>
            </w:rPr>
            <w:instrText xml:space="preserve"> CITATION CON0b \l 2058 </w:instrText>
          </w:r>
          <w:r w:rsidR="0072146B" w:rsidRPr="00EB5CF0">
            <w:rPr>
              <w:bCs/>
            </w:rPr>
            <w:fldChar w:fldCharType="separate"/>
          </w:r>
          <w:r w:rsidRPr="00EB5CF0">
            <w:rPr>
              <w:bCs/>
              <w:noProof/>
            </w:rPr>
            <w:t xml:space="preserve"> </w:t>
          </w:r>
          <w:r w:rsidRPr="00EB5CF0">
            <w:rPr>
              <w:noProof/>
            </w:rPr>
            <w:t>(CONACyT, 2010a)</w:t>
          </w:r>
          <w:r w:rsidR="0072146B" w:rsidRPr="00EB5CF0">
            <w:rPr>
              <w:bCs/>
            </w:rPr>
            <w:fldChar w:fldCharType="end"/>
          </w:r>
        </w:sdtContent>
      </w:sdt>
      <w:r w:rsidRPr="00EB5CF0">
        <w:rPr>
          <w:bCs/>
        </w:rPr>
        <w:t xml:space="preserve">. Hasta la publicación del 2010 no era </w:t>
      </w:r>
      <w:proofErr w:type="gramStart"/>
      <w:r w:rsidRPr="00EB5CF0">
        <w:rPr>
          <w:bCs/>
        </w:rPr>
        <w:t>claro</w:t>
      </w:r>
      <w:proofErr w:type="gramEnd"/>
      <w:r w:rsidRPr="00EB5CF0">
        <w:rPr>
          <w:bCs/>
        </w:rPr>
        <w:t>, el criterio del CONACyT sobre la dedicación de los estudiantes dependiendo de la orientación de los programas de posgrado, en esa última versión se estableció que era recomendable la dedicación exclusiva, de tiempo completo al programa.</w:t>
      </w:r>
    </w:p>
    <w:p w:rsidR="00356E67" w:rsidRPr="00EB5CF0" w:rsidRDefault="00356E67" w:rsidP="00E16642">
      <w:pPr>
        <w:rPr>
          <w:bCs/>
        </w:rPr>
      </w:pPr>
    </w:p>
    <w:p w:rsidR="00356E67" w:rsidRPr="00EB5CF0" w:rsidRDefault="00356E67" w:rsidP="00E16642">
      <w:pPr>
        <w:rPr>
          <w:bCs/>
        </w:rPr>
      </w:pPr>
      <w:r w:rsidRPr="00EB5CF0">
        <w:rPr>
          <w:bCs/>
        </w:rPr>
        <w:t xml:space="preserve">En la modalidad de evaluación anterior, en el criterio de seguimiento a egresados se establecía que en los </w:t>
      </w:r>
      <w:proofErr w:type="spellStart"/>
      <w:r w:rsidRPr="00EB5CF0">
        <w:rPr>
          <w:bCs/>
        </w:rPr>
        <w:t>PrgOP</w:t>
      </w:r>
      <w:proofErr w:type="spellEnd"/>
      <w:r w:rsidRPr="00EB5CF0">
        <w:rPr>
          <w:bCs/>
        </w:rPr>
        <w:t xml:space="preserve"> se tomaría en cuenta la cantidad de graduados que contarán con certificación y con recertificación profesional y, por el lado de los </w:t>
      </w:r>
      <w:proofErr w:type="spellStart"/>
      <w:r w:rsidRPr="00EB5CF0">
        <w:rPr>
          <w:bCs/>
        </w:rPr>
        <w:t>PrgOI</w:t>
      </w:r>
      <w:proofErr w:type="spellEnd"/>
      <w:r w:rsidRPr="00EB5CF0">
        <w:rPr>
          <w:bCs/>
        </w:rPr>
        <w:t>, serían los que participaran en sociedades científicas o en el Sistema Nacional de Investigadores (SNI)</w:t>
      </w:r>
      <w:sdt>
        <w:sdtPr>
          <w:rPr>
            <w:bCs/>
          </w:rPr>
          <w:id w:val="4591235"/>
          <w:citation/>
        </w:sdtPr>
        <w:sdtEndPr/>
        <w:sdtContent>
          <w:r w:rsidR="0072146B" w:rsidRPr="00EB5CF0">
            <w:rPr>
              <w:bCs/>
            </w:rPr>
            <w:fldChar w:fldCharType="begin"/>
          </w:r>
          <w:r w:rsidRPr="00EB5CF0">
            <w:rPr>
              <w:bCs/>
            </w:rPr>
            <w:instrText xml:space="preserve"> CITATION CONsa \l 2058  </w:instrText>
          </w:r>
          <w:r w:rsidR="0072146B" w:rsidRPr="00EB5CF0">
            <w:rPr>
              <w:bCs/>
            </w:rPr>
            <w:fldChar w:fldCharType="separate"/>
          </w:r>
          <w:r w:rsidRPr="00EB5CF0">
            <w:rPr>
              <w:noProof/>
            </w:rPr>
            <w:t>(CONACyT, s. a.)</w:t>
          </w:r>
          <w:r w:rsidR="0072146B" w:rsidRPr="00EB5CF0">
            <w:rPr>
              <w:bCs/>
            </w:rPr>
            <w:fldChar w:fldCharType="end"/>
          </w:r>
        </w:sdtContent>
      </w:sdt>
      <w:r w:rsidRPr="00EB5CF0">
        <w:rPr>
          <w:bCs/>
        </w:rPr>
        <w:t>, sin embargo, en las últimas publicaciones este rubro ya no es mencionado.</w:t>
      </w:r>
    </w:p>
    <w:p w:rsidR="00356E67" w:rsidRPr="00EB5CF0" w:rsidRDefault="00356E67" w:rsidP="00E16642"/>
    <w:p w:rsidR="00356E67" w:rsidRPr="00EB5CF0" w:rsidRDefault="00356E67" w:rsidP="00E16642">
      <w:r w:rsidRPr="00EB5CF0">
        <w:lastRenderedPageBreak/>
        <w:t xml:space="preserve">3) En el apartado del </w:t>
      </w:r>
      <w:r w:rsidRPr="00A32E95">
        <w:rPr>
          <w:b/>
        </w:rPr>
        <w:t>personal académico</w:t>
      </w:r>
      <w:r w:rsidRPr="00A32E95">
        <w:t xml:space="preserve"> es en donde se </w:t>
      </w:r>
      <w:r w:rsidRPr="00EB5CF0">
        <w:t xml:space="preserve">evalúa al profesorado que participa activamente en las actividades del programa ya sea impartiendo cursos, dando asesoría de tesis o tutorías, participando  en  exámenes de grado, etc.; esta evaluación no incluye a todo un departamento, escuela o división. Además es importante resaltar que el grado académico de los miembros de la planta académica será </w:t>
      </w:r>
      <w:r w:rsidR="00AB32CA">
        <w:t>solo</w:t>
      </w:r>
      <w:r w:rsidRPr="00EB5CF0">
        <w:t xml:space="preserve"> uno de los elementos de juicio para evaluar el programa, ya que lo esencial es la calidad de los productos del trabajo académico </w:t>
      </w:r>
      <w:sdt>
        <w:sdtPr>
          <w:id w:val="5978595"/>
          <w:citation/>
        </w:sdtPr>
        <w:sdtEndPr/>
        <w:sdtContent>
          <w:r w:rsidR="0072146B" w:rsidRPr="00EB5CF0">
            <w:fldChar w:fldCharType="begin"/>
          </w:r>
          <w:r w:rsidRPr="00EB5CF0">
            <w:instrText xml:space="preserve"> CITATION CONsa \l 2058  </w:instrText>
          </w:r>
          <w:r w:rsidR="0072146B" w:rsidRPr="00EB5CF0">
            <w:fldChar w:fldCharType="separate"/>
          </w:r>
          <w:r w:rsidRPr="00EB5CF0">
            <w:rPr>
              <w:noProof/>
            </w:rPr>
            <w:t>(CONACyT, s. a.)</w:t>
          </w:r>
          <w:r w:rsidR="0072146B" w:rsidRPr="00EB5CF0">
            <w:fldChar w:fldCharType="end"/>
          </w:r>
        </w:sdtContent>
      </w:sdt>
      <w:r w:rsidRPr="00EB5CF0">
        <w:t xml:space="preserve">. Se analizan dos puntos, a) </w:t>
      </w:r>
      <w:r w:rsidRPr="00EB5CF0">
        <w:rPr>
          <w:i/>
        </w:rPr>
        <w:t xml:space="preserve">el núcleo académico básico </w:t>
      </w:r>
      <w:r w:rsidRPr="00EB5CF0">
        <w:t xml:space="preserve">que es el conjunto de profesores que cuenten con una formación académica y experiencia demostrable en investigación o trabajo profesional, es decir, una trayectoria relevante y una producción académica en alguna de las áreas del conocimiento asociadas al programa, se incluyen varios rubros descriptivos como el perfil, el tiempo de dedicación, las distinciones académicas (pertenencia al SNI u otros organismos académicos o profesionales con reconocimiento local, regional, nacional o internacional); la organización académica en academias, colegio, cuerpos académicos; el programa de superación, es decir, los instrumentos para la actualización del personal académico, la movilidad o participación nacional e internacional; y evaluación del desempeño académico y b) </w:t>
      </w:r>
      <w:r w:rsidRPr="00EB5CF0">
        <w:rPr>
          <w:i/>
        </w:rPr>
        <w:t>la congruencia entre las líneas de generación y la aplicación del conocimiento</w:t>
      </w:r>
      <w:r w:rsidRPr="00EB5CF0">
        <w:t>, por lo menos debe haber tres de acuerdo al posgrado; así como la participación de los estudiantes en proyectos derivados de dichas líneas.</w:t>
      </w:r>
    </w:p>
    <w:p w:rsidR="00356E67" w:rsidRPr="00EB5CF0" w:rsidRDefault="00356E67" w:rsidP="00E16642">
      <w:pPr>
        <w:rPr>
          <w:bCs/>
        </w:rPr>
      </w:pPr>
    </w:p>
    <w:p w:rsidR="00356E67" w:rsidRPr="00EB5CF0" w:rsidRDefault="00356E67" w:rsidP="00E16642">
      <w:r w:rsidRPr="00EB5CF0">
        <w:rPr>
          <w:bCs/>
          <w:i/>
        </w:rPr>
        <w:t>Del núcleo académico básico</w:t>
      </w:r>
      <w:r w:rsidRPr="00EB5CF0">
        <w:rPr>
          <w:bCs/>
        </w:rPr>
        <w:t xml:space="preserve">: en cuanto al perfil para los </w:t>
      </w:r>
      <w:proofErr w:type="spellStart"/>
      <w:r w:rsidRPr="00EB5CF0">
        <w:rPr>
          <w:bCs/>
        </w:rPr>
        <w:t>PrgOP</w:t>
      </w:r>
      <w:proofErr w:type="spellEnd"/>
      <w:r w:rsidRPr="00EB5CF0">
        <w:rPr>
          <w:bCs/>
        </w:rPr>
        <w:t xml:space="preserve"> l</w:t>
      </w:r>
      <w:r w:rsidRPr="00EB5CF0">
        <w:t xml:space="preserve">a mayoría de los profesores deben tener una formación y una experiencia congruentes con el área del conocimiento del programa y/o con la disciplina que imparten, ésta debe ser una trayectoria relevante y reconocida en el área profesional que constituye el principal destino laboral de los egresados de especialidades o graduados de maestría; es decir, llevar a cabo un ejercicio profesional destacado en su campo profesional y/o académico y tener presencia y liderazgo en la institución y en el campo profesional vinculado al programa. Para los profesores que participan en los </w:t>
      </w:r>
      <w:proofErr w:type="spellStart"/>
      <w:r w:rsidRPr="00EB5CF0">
        <w:t>PrgOI</w:t>
      </w:r>
      <w:proofErr w:type="spellEnd"/>
      <w:r w:rsidRPr="00EB5CF0">
        <w:t xml:space="preserve"> su formación académica y experiencia en investigación debe ser </w:t>
      </w:r>
      <w:r w:rsidRPr="00EB5CF0">
        <w:lastRenderedPageBreak/>
        <w:t xml:space="preserve">evidenciada a través una reconocida producción académica en alguna de las áreas del conocimiento asociadas al programa. Asimismo los profesores deben estar realizando investigación en el área de su especialidad. </w:t>
      </w:r>
    </w:p>
    <w:p w:rsidR="00356E67" w:rsidRPr="00EB5CF0" w:rsidRDefault="00356E67" w:rsidP="00E16642"/>
    <w:p w:rsidR="00356E67" w:rsidRPr="00EB5CF0" w:rsidRDefault="00356E67" w:rsidP="00E16642">
      <w:r w:rsidRPr="00EB5CF0">
        <w:t xml:space="preserve">Sobre el nivel académico sin importar la orientación del programa el 50% de la planta académica haya obtenido su grado más alto en una institución distinta a la que ofrece el programa, aunque para los </w:t>
      </w:r>
      <w:proofErr w:type="spellStart"/>
      <w:r w:rsidRPr="00EB5CF0">
        <w:t>PrgOI</w:t>
      </w:r>
      <w:proofErr w:type="spellEnd"/>
      <w:r w:rsidRPr="00EB5CF0">
        <w:t xml:space="preserve"> en nivel de doctorado se puede tomar en cuenta el que haya laborado en una institución diferente</w:t>
      </w:r>
      <w:r w:rsidRPr="00EB5CF0">
        <w:rPr>
          <w:i/>
          <w:iCs/>
        </w:rPr>
        <w:t xml:space="preserve">. </w:t>
      </w:r>
      <w:r w:rsidRPr="00EB5CF0">
        <w:t xml:space="preserve">El nivel de estudios requerido se relaciona con la orientación del programa, en los </w:t>
      </w:r>
      <w:proofErr w:type="spellStart"/>
      <w:r w:rsidRPr="00EB5CF0">
        <w:t>PrgOP</w:t>
      </w:r>
      <w:proofErr w:type="spellEnd"/>
      <w:r w:rsidRPr="00EB5CF0">
        <w:t xml:space="preserve"> el 100% de la planta debe tener la acreditación o el grado que otorga el programa (especialidad o maestría), aunque en el caso del nivel maestría se considera conveniente que el 20% tenga el grado de doctor; mientras que en los </w:t>
      </w:r>
      <w:proofErr w:type="spellStart"/>
      <w:r w:rsidRPr="00EB5CF0">
        <w:t>PrgOI</w:t>
      </w:r>
      <w:proofErr w:type="spellEnd"/>
      <w:r w:rsidRPr="00EB5CF0">
        <w:t xml:space="preserve"> se establece que si se imparte únicamente el grado de maestría cinco de cada ocho deben contar con doctorado y si es un programa en el que se imparta maestría y doctorado nueve de los doce profesores de tiempo completo deben tener doctorado. De manera general en los programas de maestría: el 60% de los profesores deberá contar con el grado de doctor; y en los programas de doctorado: el 100% de los profesores deberá contar con el grado de doctor.</w:t>
      </w:r>
    </w:p>
    <w:p w:rsidR="00356E67" w:rsidRPr="00EB5CF0" w:rsidRDefault="00356E67" w:rsidP="00E16642"/>
    <w:p w:rsidR="00356E67" w:rsidRPr="00EB5CF0" w:rsidRDefault="00356E67" w:rsidP="00E16642">
      <w:r w:rsidRPr="00EB5CF0">
        <w:rPr>
          <w:bCs/>
        </w:rPr>
        <w:t xml:space="preserve">El tiempo de dedicación también se estipula de acuerdo a la orientación del programa: en los </w:t>
      </w:r>
      <w:proofErr w:type="spellStart"/>
      <w:r w:rsidRPr="00EB5CF0">
        <w:t>PrgOP</w:t>
      </w:r>
      <w:proofErr w:type="spellEnd"/>
      <w:r w:rsidRPr="00EB5CF0">
        <w:t xml:space="preserve"> el núcleo académico básico de profesores debe ser de tiempo completo y puede existir un número de profesores de calidad reconocida en el ámbito con un tiempo de dedicación menor. Para el nivel de especialidad se debe contar con un total de tres profesores de tiempo completo y para el nivel de maestría un total de seis, asimismo en este nivel se deberá contar con por lo menos tres profesores de tiempo completo por cada una de las líneas de trabajo para asegurar la atención a los alumnos y la asesoría o conducción, desde aquí se asegura que por lo menos existan dos líneas de aplicación del conocimiento. La cantidad de profesores está determinada por el número de alumnos y se entiende como  “Suficiencia de la planta académica”.</w:t>
      </w:r>
    </w:p>
    <w:p w:rsidR="007129DD" w:rsidRDefault="007129DD" w:rsidP="00E16642"/>
    <w:p w:rsidR="00356E67" w:rsidRPr="00EB5CF0" w:rsidRDefault="00356E67" w:rsidP="00E16642">
      <w:r w:rsidRPr="00EB5CF0">
        <w:lastRenderedPageBreak/>
        <w:t>La proporción profesor-alumno en los distintos niveles de los programas deberá ser:</w:t>
      </w:r>
    </w:p>
    <w:p w:rsidR="00356E67" w:rsidRPr="00EB5CF0" w:rsidRDefault="00356E67" w:rsidP="00E16642">
      <w:r w:rsidRPr="00EB5CF0">
        <w:t>Especialidad: 15 -20 alumnos como máximo por profesor de Tiempo Completo</w:t>
      </w:r>
    </w:p>
    <w:p w:rsidR="00356E67" w:rsidRPr="00EB5CF0" w:rsidRDefault="00356E67" w:rsidP="00E16642">
      <w:r w:rsidRPr="00EB5CF0">
        <w:t>Maestría: 5- 10 alumnos como máximo por profesor de Tiempo Completo</w:t>
      </w:r>
    </w:p>
    <w:p w:rsidR="00356E67" w:rsidRPr="00EB5CF0" w:rsidRDefault="00356E67" w:rsidP="00E16642"/>
    <w:p w:rsidR="00356E67" w:rsidRPr="00EB5CF0" w:rsidRDefault="00356E67" w:rsidP="00E16642">
      <w:r w:rsidRPr="00EB5CF0">
        <w:t>Esta situación también aplica a la proporción de alumnos por asesor de proyecto terminal o tesis el cual no deberá ser superior a 6 alumnos atendidos en forma simultánea. En estos programas una parte de la tarea de dirección de tesis podrá recaer en expertos que participan en el programa como profesores de Tiempo Parcial.</w:t>
      </w:r>
    </w:p>
    <w:p w:rsidR="00356E67" w:rsidRPr="00EB5CF0" w:rsidRDefault="00356E67" w:rsidP="00E16642"/>
    <w:p w:rsidR="00356E67" w:rsidRPr="00EB5CF0" w:rsidRDefault="00356E67" w:rsidP="00E16642">
      <w:r w:rsidRPr="00EB5CF0">
        <w:t xml:space="preserve">En los </w:t>
      </w:r>
      <w:proofErr w:type="spellStart"/>
      <w:r w:rsidRPr="00EB5CF0">
        <w:t>PrgOI</w:t>
      </w:r>
      <w:proofErr w:type="spellEnd"/>
      <w:r w:rsidRPr="00EB5CF0">
        <w:t xml:space="preserve"> la planta docente será fundamentalmente de tiempo completo, aunque pueden contar con profesores invitados recocidos tanto en el ámbito académico como en el profesional (ello tendrá un peso específico en la evaluación). El núcleo académico en el nivel de maestría, tendrá un total de ocho profesores de tiempo completo, para los niveles de maestría y doctorado se debe contar con un total de 12 profesores de tiempo completo. De la misma manera, se debe contar por lo menos con tres profesores de tiempo completo por cada línea de investigación. Igual que en los otros programas se pretende asegurar la atención a los alumnos por parte de los profesores en términos de la “suficiencia de la planta académica”  La proporción profesor- alumno en los distintos niveles de los programas deberá ser: Maestría: 4–6 alumnos como máximo por profesor de Tiempo Completo y Doctorado: 2–4 alumnos como máximo por profesor de Tiempo Completo. También la Proporción de alumnos por asesor o tutor de tesis no deberá ser superior a 4 alumnos atendidos en forma simultánea en el caso de los programas de maestría y de 3 en los programas de doctorado, en este caso no se menciona que pueda ser una actividad desarrollada por los profesores invitados mencionados arriba.</w:t>
      </w:r>
    </w:p>
    <w:p w:rsidR="00356E67" w:rsidRPr="00EB5CF0" w:rsidRDefault="00356E67" w:rsidP="00E16642"/>
    <w:p w:rsidR="00356E67" w:rsidRPr="00EB5CF0" w:rsidRDefault="00356E67" w:rsidP="00E16642">
      <w:r w:rsidRPr="00EB5CF0">
        <w:t xml:space="preserve">En cuanto a las distinciones académicas (pertenencia al SNI u otros organismos académicos o profesionales con reconocimiento local, regional, nacional o </w:t>
      </w:r>
      <w:r w:rsidRPr="00EB5CF0">
        <w:lastRenderedPageBreak/>
        <w:t xml:space="preserve">internacional) se especifica que “para que un </w:t>
      </w:r>
      <w:proofErr w:type="spellStart"/>
      <w:r w:rsidRPr="00EB5CF0">
        <w:t>PrgOP</w:t>
      </w:r>
      <w:proofErr w:type="spellEnd"/>
      <w:r w:rsidRPr="00EB5CF0">
        <w:t xml:space="preserve"> sea considerado como Competente a Nivel Internacional, al menos el 30% de los profesores deberá contar con reconocimientos internacionales en su área profesional.” Por el lado </w:t>
      </w:r>
      <w:proofErr w:type="spellStart"/>
      <w:r w:rsidRPr="00EB5CF0">
        <w:t>del</w:t>
      </w:r>
      <w:proofErr w:type="spellEnd"/>
      <w:r w:rsidRPr="00EB5CF0">
        <w:t xml:space="preserve"> los </w:t>
      </w:r>
      <w:proofErr w:type="spellStart"/>
      <w:r w:rsidRPr="00EB5CF0">
        <w:t>PrgOI</w:t>
      </w:r>
      <w:proofErr w:type="spellEnd"/>
      <w:r w:rsidRPr="00EB5CF0">
        <w:t xml:space="preserve"> a l menos un 50% de los profesores de tiempo completo debe pertenecer al SNI y para que un programa sea considerado como Competente a Nivel Internacional, al menos el 30% de los profesores de tiempo completo deberán ser niveles 2 y/o 3 en el SNI”</w:t>
      </w:r>
      <w:sdt>
        <w:sdtPr>
          <w:id w:val="4591238"/>
          <w:citation/>
        </w:sdtPr>
        <w:sdtEndPr/>
        <w:sdtContent>
          <w:r w:rsidR="0072146B" w:rsidRPr="00EB5CF0">
            <w:fldChar w:fldCharType="begin"/>
          </w:r>
          <w:r w:rsidRPr="00EB5CF0">
            <w:instrText xml:space="preserve"> CITATION CONsa \l 2058  </w:instrText>
          </w:r>
          <w:r w:rsidR="0072146B" w:rsidRPr="00EB5CF0">
            <w:fldChar w:fldCharType="separate"/>
          </w:r>
          <w:r w:rsidRPr="00EB5CF0">
            <w:rPr>
              <w:noProof/>
            </w:rPr>
            <w:t xml:space="preserve"> (CONACyT, s. a.)</w:t>
          </w:r>
          <w:r w:rsidR="0072146B" w:rsidRPr="00EB5CF0">
            <w:fldChar w:fldCharType="end"/>
          </w:r>
        </w:sdtContent>
      </w:sdt>
      <w:r w:rsidRPr="00EB5CF0">
        <w:t>.</w:t>
      </w:r>
    </w:p>
    <w:p w:rsidR="00356E67" w:rsidRPr="00EB5CF0" w:rsidRDefault="00356E67" w:rsidP="00E16642"/>
    <w:p w:rsidR="00356E67" w:rsidRPr="00EB5CF0" w:rsidRDefault="00356E67" w:rsidP="00E16642">
      <w:r w:rsidRPr="00EB5CF0">
        <w:t>En el modelo anterior del CONACyT para la evaluación de los programas, se explicaba el rubro de “producción académica” dentro de los criterios del “núcleo académico básico”, a diferencia de lo presentado en el modelo actual publicado en 2008 (Marco de Referencia) que se utiliza para analizar “la cooperación con otros actores de la sociedad” por ser parte de los resultados del programa, así que se tratará más adelante de acuerdo a la convocatoria actual.</w:t>
      </w:r>
    </w:p>
    <w:p w:rsidR="00356E67" w:rsidRPr="00EB5CF0" w:rsidRDefault="00356E67" w:rsidP="00E16642">
      <w:pPr>
        <w:rPr>
          <w:bCs/>
        </w:rPr>
      </w:pPr>
    </w:p>
    <w:p w:rsidR="00356E67" w:rsidRPr="00EB5CF0" w:rsidRDefault="00356E67" w:rsidP="00E16642">
      <w:pPr>
        <w:rPr>
          <w:bCs/>
        </w:rPr>
      </w:pPr>
      <w:r w:rsidRPr="00EB5CF0">
        <w:rPr>
          <w:bCs/>
        </w:rPr>
        <w:t xml:space="preserve">Siguiendo con los criterios de evaluación para el núcleo básico, se tiene también, el programa de superación, es decir, los instrumentos para la actualización del personal académico ya sea para incremento o profundización del conocimiento, la movilidad o participación nacional e internacional. Para los </w:t>
      </w:r>
      <w:proofErr w:type="spellStart"/>
      <w:r w:rsidRPr="00EB5CF0">
        <w:rPr>
          <w:bCs/>
        </w:rPr>
        <w:t>PrgOP</w:t>
      </w:r>
      <w:proofErr w:type="spellEnd"/>
      <w:r w:rsidRPr="00EB5CF0">
        <w:rPr>
          <w:bCs/>
        </w:rPr>
        <w:t xml:space="preserve"> se requiere contar con una proporción significativa de profesores de Tiempo Completo que haya hecho estancias temporales en instituciones o empresas del sector productivo o social, en el ámbito profesional vinculado al programa. Para </w:t>
      </w:r>
      <w:proofErr w:type="spellStart"/>
      <w:r w:rsidRPr="00EB5CF0">
        <w:rPr>
          <w:bCs/>
        </w:rPr>
        <w:t>PrgOI</w:t>
      </w:r>
      <w:proofErr w:type="spellEnd"/>
      <w:r w:rsidRPr="00EB5CF0">
        <w:rPr>
          <w:bCs/>
        </w:rPr>
        <w:t xml:space="preserve"> es necesario contar con una proporción significativa de profesores investigadores que haya hecho estancias posdoctorales y sabáticas en otros centros de investigación </w:t>
      </w:r>
      <w:sdt>
        <w:sdtPr>
          <w:rPr>
            <w:bCs/>
          </w:rPr>
          <w:id w:val="4591242"/>
          <w:citation/>
        </w:sdtPr>
        <w:sdtEndPr/>
        <w:sdtContent>
          <w:r w:rsidR="0072146B" w:rsidRPr="00EB5CF0">
            <w:rPr>
              <w:bCs/>
            </w:rPr>
            <w:fldChar w:fldCharType="begin"/>
          </w:r>
          <w:r w:rsidRPr="00EB5CF0">
            <w:rPr>
              <w:bCs/>
            </w:rPr>
            <w:instrText xml:space="preserve"> CITATION CONsa \l 2058  </w:instrText>
          </w:r>
          <w:r w:rsidR="0072146B" w:rsidRPr="00EB5CF0">
            <w:rPr>
              <w:bCs/>
            </w:rPr>
            <w:fldChar w:fldCharType="separate"/>
          </w:r>
          <w:r w:rsidRPr="00EB5CF0">
            <w:rPr>
              <w:noProof/>
            </w:rPr>
            <w:t>(CONACyT, s. a.)</w:t>
          </w:r>
          <w:r w:rsidR="0072146B" w:rsidRPr="00EB5CF0">
            <w:rPr>
              <w:bCs/>
            </w:rPr>
            <w:fldChar w:fldCharType="end"/>
          </w:r>
        </w:sdtContent>
      </w:sdt>
      <w:r w:rsidRPr="00EB5CF0">
        <w:rPr>
          <w:bCs/>
        </w:rPr>
        <w:t>. Para lograr lo anterior se tienen considerados periodos sabáticos, postdoctorados, profesores visitantes, cátedras nacionales e internacionales en apoyo al programa de posgrado, etc.; y evaluación del desempeño académico; también es necesario que exista participación en redes académicas en apoyo a las líneas de generación y/o aplicación del conocimiento, es también importante participar o tener injerencia en programas nacionales destinados al desarrollo nacional.</w:t>
      </w:r>
    </w:p>
    <w:p w:rsidR="00356E67" w:rsidRPr="00EB5CF0" w:rsidRDefault="00356E67" w:rsidP="00E16642">
      <w:pPr>
        <w:rPr>
          <w:bCs/>
          <w:highlight w:val="yellow"/>
        </w:rPr>
      </w:pPr>
    </w:p>
    <w:p w:rsidR="00356E67" w:rsidRPr="00EB5CF0" w:rsidRDefault="00356E67" w:rsidP="00E16642">
      <w:r w:rsidRPr="00EB5CF0">
        <w:rPr>
          <w:bCs/>
        </w:rPr>
        <w:t>La evaluación del desempeño académico se realizará a través de la capacidad o experiencia en la generación y aplicación del conocimiento de carácter académico o empresarial y para la dirección de tesis, lo anterior para ambos programas.</w:t>
      </w:r>
    </w:p>
    <w:p w:rsidR="00356E67" w:rsidRPr="00EB5CF0" w:rsidRDefault="00356E67" w:rsidP="00E16642">
      <w:pPr>
        <w:rPr>
          <w:bCs/>
          <w:highlight w:val="yellow"/>
        </w:rPr>
      </w:pPr>
    </w:p>
    <w:p w:rsidR="00356E67" w:rsidRPr="00EB5CF0" w:rsidRDefault="00356E67" w:rsidP="00E16642">
      <w:pPr>
        <w:rPr>
          <w:bCs/>
        </w:rPr>
      </w:pPr>
      <w:r w:rsidRPr="00EB5CF0">
        <w:rPr>
          <w:bCs/>
        </w:rPr>
        <w:t xml:space="preserve">De acuerdo a los trabajos del Foro Consultivo, este rubro (la planta académica) debe ser prioritario en la definición de la calidad de los programas en ciencias puras que corresponde a los </w:t>
      </w:r>
      <w:proofErr w:type="spellStart"/>
      <w:r w:rsidRPr="00EB5CF0">
        <w:rPr>
          <w:bCs/>
        </w:rPr>
        <w:t>PrgOI</w:t>
      </w:r>
      <w:proofErr w:type="spellEnd"/>
      <w:r w:rsidR="00A07960">
        <w:rPr>
          <w:bCs/>
        </w:rPr>
        <w:t>.</w:t>
      </w:r>
    </w:p>
    <w:p w:rsidR="00356E67" w:rsidRPr="00EB5CF0" w:rsidRDefault="00356E67" w:rsidP="00E16642">
      <w:pPr>
        <w:rPr>
          <w:bCs/>
          <w:highlight w:val="yellow"/>
        </w:rPr>
      </w:pPr>
    </w:p>
    <w:p w:rsidR="00356E67" w:rsidRPr="00EB5CF0" w:rsidRDefault="00356E67" w:rsidP="00E16642">
      <w:pPr>
        <w:rPr>
          <w:bCs/>
        </w:rPr>
      </w:pPr>
      <w:r w:rsidRPr="00EB5CF0">
        <w:rPr>
          <w:bCs/>
        </w:rPr>
        <w:t xml:space="preserve">Del segundo punto en la planta académica, b) </w:t>
      </w:r>
      <w:r w:rsidRPr="00EB5CF0">
        <w:rPr>
          <w:bCs/>
          <w:i/>
        </w:rPr>
        <w:t>la congruencia entre las líneas de generación y la aplicación del conocimiento</w:t>
      </w:r>
      <w:r w:rsidRPr="00EB5CF0">
        <w:rPr>
          <w:bCs/>
        </w:rPr>
        <w:t>, para los dos tipos de programas (</w:t>
      </w:r>
      <w:proofErr w:type="spellStart"/>
      <w:r w:rsidRPr="00EB5CF0">
        <w:rPr>
          <w:bCs/>
        </w:rPr>
        <w:t>PrgOP</w:t>
      </w:r>
      <w:proofErr w:type="spellEnd"/>
      <w:r w:rsidRPr="00EB5CF0">
        <w:rPr>
          <w:bCs/>
        </w:rPr>
        <w:t xml:space="preserve"> y </w:t>
      </w:r>
      <w:proofErr w:type="spellStart"/>
      <w:r w:rsidRPr="00EB5CF0">
        <w:rPr>
          <w:bCs/>
        </w:rPr>
        <w:t>PrgOI</w:t>
      </w:r>
      <w:proofErr w:type="spellEnd"/>
      <w:r w:rsidRPr="00EB5CF0">
        <w:rPr>
          <w:bCs/>
        </w:rPr>
        <w:t>) se evalúa que exista relación entre las líneas de generación y aplicación del conocimiento con orientación del programa de posgrado. Además de que sea congruente con lo presentado en el documento de planeación institucional entregado al comité evaluador y sea especificada también la participación tanto de estudiantes como de profesores en proyectos derivados de dichas líneas. Se requiere que se haya planificado el número de integrantes de los equipos de investigación, incluyendo de coordinadores de proyecto o investigadores titulares, el número de auxiliares que pueden llamarse asistentes de proyectos o investigadores asociados y el número de alumnos, estos deben haber participado en por lo menos el 50% de los productos o las publicaciones de los profesores de tiempo completo.</w:t>
      </w:r>
    </w:p>
    <w:p w:rsidR="00356E67" w:rsidRPr="00EB5CF0" w:rsidRDefault="00356E67" w:rsidP="00E16642">
      <w:pPr>
        <w:rPr>
          <w:bCs/>
        </w:rPr>
      </w:pPr>
    </w:p>
    <w:p w:rsidR="00356E67" w:rsidRPr="00EB5CF0" w:rsidRDefault="00356E67" w:rsidP="00E16642">
      <w:r w:rsidRPr="00EB5CF0">
        <w:t xml:space="preserve">Dentro del plan de estudios se establece que en los </w:t>
      </w:r>
      <w:proofErr w:type="spellStart"/>
      <w:r w:rsidRPr="00EB5CF0">
        <w:t>PrgOP</w:t>
      </w:r>
      <w:proofErr w:type="spellEnd"/>
      <w:r w:rsidRPr="00EB5CF0">
        <w:t xml:space="preserve"> existan líneas de trabajo de carácter profesional, en la propia institución o instituciones o empresas del ramo, que tengan relevancia nacional o internacional, dichas líneas deberás estar asociadas al programa por medio de convenios para así lograr la integración de los alumnos a proyectos específicos de manera supervisada por los tutores asignados al programa; y para los </w:t>
      </w:r>
      <w:proofErr w:type="spellStart"/>
      <w:r w:rsidRPr="00EB5CF0">
        <w:t>PrgOI</w:t>
      </w:r>
      <w:proofErr w:type="spellEnd"/>
      <w:r w:rsidRPr="00EB5CF0">
        <w:t>, las líneas son de investigación y permitirán la integración de los alumnos</w:t>
      </w:r>
      <w:sdt>
        <w:sdtPr>
          <w:id w:val="4591236"/>
          <w:citation/>
        </w:sdtPr>
        <w:sdtEndPr/>
        <w:sdtContent>
          <w:r w:rsidR="0072146B" w:rsidRPr="00EB5CF0">
            <w:fldChar w:fldCharType="begin"/>
          </w:r>
          <w:r w:rsidRPr="00EB5CF0">
            <w:instrText xml:space="preserve"> CITATION CONsa \l 2058  </w:instrText>
          </w:r>
          <w:r w:rsidR="0072146B" w:rsidRPr="00EB5CF0">
            <w:fldChar w:fldCharType="separate"/>
          </w:r>
          <w:r w:rsidRPr="00EB5CF0">
            <w:rPr>
              <w:noProof/>
            </w:rPr>
            <w:t xml:space="preserve"> (CONACyT, s. a.)</w:t>
          </w:r>
          <w:r w:rsidR="0072146B" w:rsidRPr="00EB5CF0">
            <w:fldChar w:fldCharType="end"/>
          </w:r>
        </w:sdtContent>
      </w:sdt>
      <w:r w:rsidRPr="00EB5CF0">
        <w:t>.</w:t>
      </w:r>
    </w:p>
    <w:p w:rsidR="00356E67" w:rsidRPr="00EB5CF0" w:rsidRDefault="00356E67" w:rsidP="00E16642">
      <w:pPr>
        <w:rPr>
          <w:bCs/>
        </w:rPr>
      </w:pPr>
    </w:p>
    <w:p w:rsidR="00356E67" w:rsidRPr="00EB5CF0" w:rsidRDefault="00356E67" w:rsidP="00E16642">
      <w:pPr>
        <w:rPr>
          <w:bCs/>
        </w:rPr>
      </w:pPr>
      <w:r w:rsidRPr="00EB5CF0">
        <w:rPr>
          <w:bCs/>
        </w:rPr>
        <w:lastRenderedPageBreak/>
        <w:t xml:space="preserve">4) Sobre la </w:t>
      </w:r>
      <w:r w:rsidRPr="00A32E95">
        <w:rPr>
          <w:b/>
        </w:rPr>
        <w:t>infraestructura</w:t>
      </w:r>
      <w:r w:rsidRPr="00EB5CF0">
        <w:rPr>
          <w:bCs/>
        </w:rPr>
        <w:t>, se manejan los criterios Espacios y equipamiento como aulas o espacios para profesores y estudiantes en términos de disponibilidad, funcionalidad y condiciones de seguridad; Laboratorios y talleres, disponibilidad de servicios, materiales en términos del suministro oportuno así como la programación, utilización, abastecimiento, conservación, custodia;  Información y documentación que tiene que ver con biblioteca en cuanto el acervo, el servicio y las instalaciones y Tecnologías de información y comunicación que son equipos, instalaciones, acceso a redes nacionales e internacionales de información, bases de datos y atención y servicios.</w:t>
      </w:r>
    </w:p>
    <w:p w:rsidR="00356E67" w:rsidRPr="00EB5CF0" w:rsidRDefault="00356E67" w:rsidP="00E16642">
      <w:pPr>
        <w:rPr>
          <w:bCs/>
        </w:rPr>
      </w:pPr>
    </w:p>
    <w:p w:rsidR="00356E67" w:rsidRPr="00EB5CF0" w:rsidRDefault="00356E67" w:rsidP="00E16642">
      <w:pPr>
        <w:rPr>
          <w:bCs/>
        </w:rPr>
      </w:pPr>
      <w:r w:rsidRPr="00EB5CF0">
        <w:rPr>
          <w:bCs/>
        </w:rPr>
        <w:t xml:space="preserve">5) En cuanto a la </w:t>
      </w:r>
      <w:r w:rsidRPr="00A32E95">
        <w:rPr>
          <w:b/>
        </w:rPr>
        <w:t>productividad académica (resultados)</w:t>
      </w:r>
      <w:r w:rsidRPr="00EB5CF0">
        <w:rPr>
          <w:bCs/>
        </w:rPr>
        <w:t>, se consideran: Trascendencia de la formación de recursos humanos en atención de áreas prioritarias para el desarrollo del país, cobertura que es el potencial del programa en la matrícula y evolución del programa con estudios de permanencia y seguimiento de egresados; Seguimiento de egresados en cuanto su satisfacción y proyección; Efectividad del posgrado en términos de eficiencia terminal y graduación; y Contribución al conocimiento a partir de la investigación y desarrollo, la tecnología e innovación, la dirección de tesis, la publicación de resultados de investigación, la participación en encuentros académicos y la articulación de la investigación con la docencia</w:t>
      </w:r>
      <w:sdt>
        <w:sdtPr>
          <w:rPr>
            <w:bCs/>
          </w:rPr>
          <w:id w:val="6978451"/>
          <w:citation/>
        </w:sdtPr>
        <w:sdtEndPr/>
        <w:sdtContent>
          <w:r w:rsidR="0072146B" w:rsidRPr="00EB5CF0">
            <w:rPr>
              <w:bCs/>
            </w:rPr>
            <w:fldChar w:fldCharType="begin"/>
          </w:r>
          <w:r w:rsidRPr="00EB5CF0">
            <w:rPr>
              <w:bCs/>
            </w:rPr>
            <w:instrText xml:space="preserve"> CITATION MarcadorDePosición4 \l 2058 </w:instrText>
          </w:r>
          <w:r w:rsidR="0072146B" w:rsidRPr="00EB5CF0">
            <w:rPr>
              <w:bCs/>
            </w:rPr>
            <w:fldChar w:fldCharType="separate"/>
          </w:r>
          <w:r w:rsidRPr="00EB5CF0">
            <w:rPr>
              <w:bCs/>
              <w:noProof/>
            </w:rPr>
            <w:t xml:space="preserve"> </w:t>
          </w:r>
          <w:r w:rsidRPr="00EB5CF0">
            <w:rPr>
              <w:noProof/>
            </w:rPr>
            <w:t>(CONACYT, s. a.)</w:t>
          </w:r>
          <w:r w:rsidR="0072146B" w:rsidRPr="00EB5CF0">
            <w:rPr>
              <w:bCs/>
            </w:rPr>
            <w:fldChar w:fldCharType="end"/>
          </w:r>
        </w:sdtContent>
      </w:sdt>
      <w:r w:rsidRPr="00EB5CF0">
        <w:rPr>
          <w:bCs/>
        </w:rPr>
        <w:t xml:space="preserve">. </w:t>
      </w:r>
    </w:p>
    <w:p w:rsidR="00356E67" w:rsidRPr="00EB5CF0" w:rsidRDefault="00356E67" w:rsidP="00E16642">
      <w:pPr>
        <w:rPr>
          <w:bCs/>
        </w:rPr>
      </w:pPr>
    </w:p>
    <w:p w:rsidR="00356E67" w:rsidRPr="00EB5CF0" w:rsidRDefault="00356E67" w:rsidP="00E16642">
      <w:pPr>
        <w:rPr>
          <w:bCs/>
        </w:rPr>
      </w:pPr>
      <w:r w:rsidRPr="00EB5CF0">
        <w:rPr>
          <w:bCs/>
        </w:rPr>
        <w:t xml:space="preserve">En la generación y aplicación del conocimiento también se pueden establecer diferencias entre las orientaciones de los programas, para los </w:t>
      </w:r>
      <w:proofErr w:type="spellStart"/>
      <w:r w:rsidRPr="00EB5CF0">
        <w:rPr>
          <w:bCs/>
        </w:rPr>
        <w:t>PrgOP</w:t>
      </w:r>
      <w:proofErr w:type="spellEnd"/>
      <w:r w:rsidRPr="00EB5CF0">
        <w:rPr>
          <w:bCs/>
        </w:rPr>
        <w:t xml:space="preserve"> los proyectos deben estar orientados a la solución de problemas del ámbito profesional en el cual está inscrito el programa, ello se evidenciará por los proyectos realizados y la publicación de resultados o entrega de los mismos a las instituciones o empresas interesadas, por otro lado los </w:t>
      </w:r>
      <w:proofErr w:type="spellStart"/>
      <w:r w:rsidRPr="00EB5CF0">
        <w:rPr>
          <w:bCs/>
        </w:rPr>
        <w:t>PrgOI</w:t>
      </w:r>
      <w:proofErr w:type="spellEnd"/>
      <w:r w:rsidRPr="00EB5CF0">
        <w:rPr>
          <w:bCs/>
        </w:rPr>
        <w:t xml:space="preserve"> se evidenciará a través de la publicación de los proyectos en medios de reconocido prestigio y en el acceso a recursos de fondos </w:t>
      </w:r>
      <w:proofErr w:type="spellStart"/>
      <w:r w:rsidRPr="00EB5CF0">
        <w:rPr>
          <w:bCs/>
        </w:rPr>
        <w:t>concursables</w:t>
      </w:r>
      <w:proofErr w:type="spellEnd"/>
      <w:r w:rsidRPr="00EB5CF0">
        <w:rPr>
          <w:bCs/>
        </w:rPr>
        <w:t xml:space="preserve"> para el fomento a la investigación, además de la recepción de reconocimientos nacionales o internacionales </w:t>
      </w:r>
      <w:sdt>
        <w:sdtPr>
          <w:rPr>
            <w:bCs/>
          </w:rPr>
          <w:id w:val="4591232"/>
          <w:citation/>
        </w:sdtPr>
        <w:sdtEndPr/>
        <w:sdtContent>
          <w:r w:rsidR="0072146B" w:rsidRPr="00EB5CF0">
            <w:rPr>
              <w:bCs/>
            </w:rPr>
            <w:fldChar w:fldCharType="begin"/>
          </w:r>
          <w:r w:rsidRPr="00EB5CF0">
            <w:rPr>
              <w:bCs/>
            </w:rPr>
            <w:instrText xml:space="preserve"> CITATION CONsa \l 2058  </w:instrText>
          </w:r>
          <w:r w:rsidR="0072146B" w:rsidRPr="00EB5CF0">
            <w:rPr>
              <w:bCs/>
            </w:rPr>
            <w:fldChar w:fldCharType="separate"/>
          </w:r>
          <w:r w:rsidRPr="00EB5CF0">
            <w:rPr>
              <w:noProof/>
            </w:rPr>
            <w:t>(CONACyT, s. a.)</w:t>
          </w:r>
          <w:r w:rsidR="0072146B" w:rsidRPr="00EB5CF0">
            <w:rPr>
              <w:bCs/>
            </w:rPr>
            <w:fldChar w:fldCharType="end"/>
          </w:r>
        </w:sdtContent>
      </w:sdt>
      <w:r w:rsidRPr="00EB5CF0">
        <w:rPr>
          <w:bCs/>
        </w:rPr>
        <w:t>.</w:t>
      </w:r>
    </w:p>
    <w:p w:rsidR="00356E67" w:rsidRPr="00EB5CF0" w:rsidRDefault="00356E67" w:rsidP="00E16642">
      <w:pPr>
        <w:rPr>
          <w:bCs/>
        </w:rPr>
      </w:pPr>
    </w:p>
    <w:p w:rsidR="00356E67" w:rsidRPr="00EB5CF0" w:rsidRDefault="00356E67" w:rsidP="00E16642">
      <w:r w:rsidRPr="00EB5CF0">
        <w:rPr>
          <w:bCs/>
        </w:rPr>
        <w:lastRenderedPageBreak/>
        <w:t xml:space="preserve">6) Por último, en la </w:t>
      </w:r>
      <w:r w:rsidRPr="00A32E95">
        <w:rPr>
          <w:b/>
        </w:rPr>
        <w:t>cooperación con otros actores de la sociedad</w:t>
      </w:r>
      <w:r w:rsidRPr="00EB5CF0">
        <w:rPr>
          <w:bCs/>
        </w:rPr>
        <w:t>, se habla de la vinculación que son los beneficios a empresas e instituciones públicas y privadas y el intercambio académico; y el financiamiento que son recursos aplicados a la vinculación y los ingresos extraordinarios por medio de convenios o acciones de vinculación.</w:t>
      </w:r>
    </w:p>
    <w:p w:rsidR="00356E67" w:rsidRPr="00EB5CF0" w:rsidRDefault="00356E67" w:rsidP="00E16642"/>
    <w:p w:rsidR="00356E67" w:rsidRPr="00EB5CF0" w:rsidRDefault="00356E67" w:rsidP="00E16642">
      <w:r w:rsidRPr="00EB5CF0">
        <w:t>Los criterios que permiten evaluarla corresponden al seguimiento de egresados, por ejemplo su trayectoria en el sector académico, profesional y/o productivo, porque se deberá conocer dónde labora la mayoría de sus graduados y contar con una relación mínima de empleadores reales. Para establecer el destino principal de egresados y graduados y si este es afín con el campo del conocimiento del programa cursado también se puede hablar de las aportaciones que ellos hayan hecho al desarrollo del campo profesional; un criterio especial es conocer la participación de los graduados en la formación de recursos humanos entendida como la dirección de tesis, y un punto importante que se toma en cuenta son los productos o publicaciones académicas.</w:t>
      </w:r>
    </w:p>
    <w:p w:rsidR="00356E67" w:rsidRPr="00EB5CF0" w:rsidRDefault="00356E67" w:rsidP="00E16642"/>
    <w:p w:rsidR="00356E67" w:rsidRPr="00EB5CF0" w:rsidRDefault="00356E67" w:rsidP="00E16642">
      <w:r w:rsidRPr="00EB5CF0">
        <w:t xml:space="preserve">En los </w:t>
      </w:r>
      <w:proofErr w:type="spellStart"/>
      <w:r w:rsidRPr="00EB5CF0">
        <w:t>PrgOP</w:t>
      </w:r>
      <w:proofErr w:type="spellEnd"/>
      <w:r w:rsidRPr="00EB5CF0">
        <w:t xml:space="preserve"> se considera que en promedio un profesor de tiempo completo debe tener un producto relevante. Más del 80% de los profesores deberán tener evidencias de un ejercicio profesional de relevancia en los últimos tres años y para que un programa sea considerado como Competente a Nivel Internacional, deben existir productos de colaboración con profesores adscritos a instituciones de reconocido prestigio internacional. Los productos a los que se refiere son: libros y/o capítulos de libros técnicos y de texto, que pueden ser publicaciones individuales o conjuntas </w:t>
      </w:r>
      <w:proofErr w:type="spellStart"/>
      <w:r w:rsidRPr="00EB5CF0">
        <w:t>intra</w:t>
      </w:r>
      <w:proofErr w:type="spellEnd"/>
      <w:r w:rsidRPr="00EB5CF0">
        <w:t xml:space="preserve"> en inter institucionales; presentaciones en eventos profesionales especializados; patentes; informes técnicos; tesis dirigidas; productos del trabajo característicos del campo profesional o evidencias del ejercicio de una práctica profesional relevante; y resultados de proyectos (informes técnicos) para el sector productivo, de servicios, social y/o gubernamental que contribuyan a la solución de problemas relevantes en el área de conocimiento del programa como asesorías a empresas.</w:t>
      </w:r>
    </w:p>
    <w:p w:rsidR="00356E67" w:rsidRPr="00EB5CF0" w:rsidRDefault="00356E67" w:rsidP="00E16642"/>
    <w:p w:rsidR="00356E67" w:rsidRPr="00EB5CF0" w:rsidRDefault="00356E67" w:rsidP="00E16642">
      <w:pPr>
        <w:rPr>
          <w:bCs/>
        </w:rPr>
      </w:pPr>
      <w:r w:rsidRPr="00EB5CF0">
        <w:t xml:space="preserve">Para los </w:t>
      </w:r>
      <w:proofErr w:type="spellStart"/>
      <w:r w:rsidRPr="00EB5CF0">
        <w:t>PrgOI</w:t>
      </w:r>
      <w:proofErr w:type="spellEnd"/>
      <w:r w:rsidRPr="00EB5CF0">
        <w:t xml:space="preserve"> la producción académica, deberá estar asociada a las Líneas de Generación de conocimiento</w:t>
      </w:r>
      <w:sdt>
        <w:sdtPr>
          <w:id w:val="6978453"/>
          <w:citation/>
        </w:sdtPr>
        <w:sdtEndPr/>
        <w:sdtContent>
          <w:r w:rsidR="0072146B" w:rsidRPr="00EB5CF0">
            <w:fldChar w:fldCharType="begin"/>
          </w:r>
          <w:r w:rsidRPr="00EB5CF0">
            <w:instrText xml:space="preserve"> CITATION Álv10 \t  \l 2058  </w:instrText>
          </w:r>
          <w:r w:rsidR="0072146B" w:rsidRPr="00EB5CF0">
            <w:fldChar w:fldCharType="separate"/>
          </w:r>
          <w:r w:rsidRPr="00EB5CF0">
            <w:rPr>
              <w:noProof/>
            </w:rPr>
            <w:t xml:space="preserve"> (Álvarez Bruneliere &amp; Ponce Ramírez, 2010)</w:t>
          </w:r>
          <w:r w:rsidR="0072146B" w:rsidRPr="00EB5CF0">
            <w:fldChar w:fldCharType="end"/>
          </w:r>
        </w:sdtContent>
      </w:sdt>
      <w:r w:rsidRPr="00EB5CF0">
        <w:t xml:space="preserve">, además debe ser publicada en medios de prestigio académico nacionales e internacionales del campo del conocimiento correspondiente. Por ello se entiende a las revistas del Índice del CONACyT (si son nacionales) o a aquéllas reconocidas por el </w:t>
      </w:r>
      <w:proofErr w:type="spellStart"/>
      <w:r w:rsidRPr="00EB5CF0">
        <w:t>Citation</w:t>
      </w:r>
      <w:proofErr w:type="spellEnd"/>
      <w:r w:rsidRPr="00EB5CF0">
        <w:t xml:space="preserve"> </w:t>
      </w:r>
      <w:proofErr w:type="spellStart"/>
      <w:r w:rsidRPr="00EB5CF0">
        <w:t>Index</w:t>
      </w:r>
      <w:proofErr w:type="spellEnd"/>
      <w:r w:rsidRPr="00EB5CF0">
        <w:t xml:space="preserve"> (si son internacionales). Al respecto se considera conveniente que la mayoría de las publicaciones sea en medios de difusión externos a la institución de adscripción del profesor. De uno a dos artículos, en promedio, en revistas indizadas con arbitraje por profesor de Tiempo Completo cada año. Más del 80% de los profesores deberá haber hecho publicaciones en los últimos tres años. Para que un programa sea considerado como Competente a Nivel Internacional, deben existir productos de colaboración con profesores adscritos a instituciones de reconocido prestigio internacional. Estos pueden ser artículos de investigación original publicados; libros y/o capítulos de libros científicos y de texto ya sea de manera individual o conjunta </w:t>
      </w:r>
      <w:proofErr w:type="spellStart"/>
      <w:r w:rsidRPr="00EB5CF0">
        <w:t>intra</w:t>
      </w:r>
      <w:proofErr w:type="spellEnd"/>
      <w:r w:rsidRPr="00EB5CF0">
        <w:t xml:space="preserve"> e </w:t>
      </w:r>
      <w:proofErr w:type="spellStart"/>
      <w:r w:rsidRPr="00EB5CF0">
        <w:t>interinsitiucional</w:t>
      </w:r>
      <w:proofErr w:type="spellEnd"/>
      <w:r w:rsidRPr="00EB5CF0">
        <w:t xml:space="preserve">; presentaciones en eventos académicos especializados; patentes registradas y en proceso de explotación; desarrollos tecnológicos o prototipos experimentales; y sistemas y/o programas de computación; y asesorías técnicas a las empresas. </w:t>
      </w:r>
    </w:p>
    <w:p w:rsidR="00356E67" w:rsidRPr="00EB5CF0" w:rsidRDefault="00356E67" w:rsidP="00E16642"/>
    <w:p w:rsidR="00356E67" w:rsidRPr="00EB5CF0" w:rsidRDefault="00356E67" w:rsidP="00E16642">
      <w:r w:rsidRPr="00EB5CF0">
        <w:t>Bajo otra esquema de ordenamiento de los indicadores empleados en el Manual de Evaluación del Posgrado, Díaz Barriga</w:t>
      </w:r>
      <w:sdt>
        <w:sdtPr>
          <w:id w:val="942191"/>
          <w:citation/>
        </w:sdtPr>
        <w:sdtEndPr/>
        <w:sdtContent>
          <w:r w:rsidR="0072146B" w:rsidRPr="00EB5CF0">
            <w:fldChar w:fldCharType="begin"/>
          </w:r>
          <w:r w:rsidRPr="00EB5CF0">
            <w:instrText xml:space="preserve"> CITATION Día06 \n  \t  \l 2058  </w:instrText>
          </w:r>
          <w:r w:rsidR="0072146B" w:rsidRPr="00EB5CF0">
            <w:fldChar w:fldCharType="separate"/>
          </w:r>
          <w:r w:rsidRPr="00EB5CF0">
            <w:rPr>
              <w:noProof/>
            </w:rPr>
            <w:t xml:space="preserve"> (2006)</w:t>
          </w:r>
          <w:r w:rsidR="0072146B" w:rsidRPr="00EB5CF0">
            <w:fldChar w:fldCharType="end"/>
          </w:r>
        </w:sdtContent>
      </w:sdt>
      <w:r w:rsidRPr="00EB5CF0">
        <w:t>, indica que se tienen nueve rubros: 1) la valoración general con ocho ítems; 2) la operación del programa con doce ítems; 3) el plan de estudios con siete ítems; 4) la evaluación con dos ítems; 5) la planta académica con doce ítems, 6) el seguimiento de la trayectoria de egresados con dos ítems, 7) la producción académica con un ítem; 8) la infraestructura con doce ítems; y 9) la vinculación con 4 ítems.</w:t>
      </w:r>
    </w:p>
    <w:p w:rsidR="00AA0575" w:rsidRDefault="00AA0575" w:rsidP="00E16642">
      <w:pPr>
        <w:spacing w:after="200"/>
        <w:jc w:val="left"/>
        <w:rPr>
          <w:b/>
        </w:rPr>
      </w:pPr>
    </w:p>
    <w:p w:rsidR="00A07960" w:rsidRDefault="00A07960" w:rsidP="00E16642">
      <w:pPr>
        <w:spacing w:after="200"/>
        <w:jc w:val="left"/>
        <w:rPr>
          <w:b/>
        </w:rPr>
      </w:pPr>
    </w:p>
    <w:p w:rsidR="00356E67" w:rsidRPr="00E268C6" w:rsidRDefault="00436C36" w:rsidP="00E16642">
      <w:pPr>
        <w:rPr>
          <w:b/>
        </w:rPr>
      </w:pPr>
      <w:r w:rsidRPr="00E268C6">
        <w:rPr>
          <w:b/>
        </w:rPr>
        <w:lastRenderedPageBreak/>
        <w:t xml:space="preserve">Plan de mejora </w:t>
      </w:r>
    </w:p>
    <w:p w:rsidR="00356E67" w:rsidRPr="00EB5CF0" w:rsidRDefault="00356E67" w:rsidP="00E16642">
      <w:pPr>
        <w:rPr>
          <w:rStyle w:val="Ttulo1Car"/>
          <w:rFonts w:cs="Arial"/>
          <w:szCs w:val="24"/>
        </w:rPr>
      </w:pPr>
    </w:p>
    <w:p w:rsidR="00356E67" w:rsidRPr="00EB5CF0" w:rsidRDefault="00356E67" w:rsidP="00E16642">
      <w:pPr>
        <w:rPr>
          <w:iCs/>
        </w:rPr>
      </w:pPr>
      <w:r w:rsidRPr="00EB5CF0">
        <w:t xml:space="preserve">El Plan de Mejora del Programa contiene “las decisiones estratégicas sobre los cambios que deben incorporarse a cada una de las categorías </w:t>
      </w:r>
      <w:r w:rsidRPr="00EB5CF0">
        <w:rPr>
          <w:iCs/>
        </w:rPr>
        <w:t xml:space="preserve">evaluadas, de acuerdo a los criterios de evaluación en el PNPC. Dicho plan permite el seguimiento de las acciones a desarrollar, así como la incorporación de acciones correctivas ante posibles contingencias no previstas. Cuando las acciones contempladas en el plan de mejora sean de mediano a largo plazo, deberá desarrollarse la programación de las actividades y aprobarse en su caso” </w:t>
      </w:r>
      <w:sdt>
        <w:sdtPr>
          <w:rPr>
            <w:iCs/>
          </w:rPr>
          <w:id w:val="6978455"/>
          <w:citation/>
        </w:sdtPr>
        <w:sdtEndPr/>
        <w:sdtContent>
          <w:r w:rsidR="0072146B" w:rsidRPr="00EB5CF0">
            <w:rPr>
              <w:iCs/>
            </w:rPr>
            <w:fldChar w:fldCharType="begin"/>
          </w:r>
          <w:r w:rsidRPr="00EB5CF0">
            <w:rPr>
              <w:iCs/>
            </w:rPr>
            <w:instrText xml:space="preserve"> CITATION CONsa \p 15 \l 2058  </w:instrText>
          </w:r>
          <w:r w:rsidR="0072146B" w:rsidRPr="00EB5CF0">
            <w:rPr>
              <w:iCs/>
            </w:rPr>
            <w:fldChar w:fldCharType="separate"/>
          </w:r>
          <w:r w:rsidRPr="00EB5CF0">
            <w:rPr>
              <w:noProof/>
            </w:rPr>
            <w:t>(CONACyT, s. a., pág. 15)</w:t>
          </w:r>
          <w:r w:rsidR="0072146B" w:rsidRPr="00EB5CF0">
            <w:rPr>
              <w:iCs/>
            </w:rPr>
            <w:fldChar w:fldCharType="end"/>
          </w:r>
        </w:sdtContent>
      </w:sdt>
      <w:r w:rsidRPr="00EB5CF0">
        <w:rPr>
          <w:iCs/>
        </w:rPr>
        <w:t>.</w:t>
      </w:r>
    </w:p>
    <w:p w:rsidR="00356E67" w:rsidRPr="00EB5CF0" w:rsidRDefault="00356E67" w:rsidP="00E16642"/>
    <w:p w:rsidR="00356E67" w:rsidRPr="00EB5CF0" w:rsidRDefault="00356E67" w:rsidP="00E16642">
      <w:r w:rsidRPr="00EB5CF0">
        <w:t>En el Marco de Referencia</w:t>
      </w:r>
      <w:sdt>
        <w:sdtPr>
          <w:id w:val="4666740"/>
          <w:citation/>
        </w:sdtPr>
        <w:sdtEndPr/>
        <w:sdtContent>
          <w:r w:rsidR="0072146B" w:rsidRPr="00EB5CF0">
            <w:fldChar w:fldCharType="begin"/>
          </w:r>
          <w:r w:rsidRPr="00EB5CF0">
            <w:instrText xml:space="preserve"> CITATION CON08 \l 2058 </w:instrText>
          </w:r>
          <w:r w:rsidR="0072146B" w:rsidRPr="00EB5CF0">
            <w:fldChar w:fldCharType="separate"/>
          </w:r>
          <w:r w:rsidRPr="00EB5CF0">
            <w:rPr>
              <w:noProof/>
            </w:rPr>
            <w:t xml:space="preserve"> (CONACyT &amp; SES, 2008)</w:t>
          </w:r>
          <w:r w:rsidR="0072146B" w:rsidRPr="00EB5CF0">
            <w:fldChar w:fldCharType="end"/>
          </w:r>
        </w:sdtContent>
      </w:sdt>
      <w:r w:rsidRPr="00EB5CF0">
        <w:t xml:space="preserve"> se presentan algunas directrices para la elaboración de este plan de mejora. Se señala por ejemplo que debe realizarse con la participación de todos los involucrados en el programa, además que deben especificarse cuáles cambios serán a nivel institucional. Algunos puntos que resaltan son la determinación de metas y acciones así como el lapso para alcanzarlas, y los recursos tanto humanos, materiales como financieros necesarios.</w:t>
      </w:r>
    </w:p>
    <w:p w:rsidR="00356E67" w:rsidRPr="00EB5CF0" w:rsidRDefault="00356E67" w:rsidP="00E16642"/>
    <w:p w:rsidR="00356E67" w:rsidRPr="00EB5CF0" w:rsidRDefault="00356E67" w:rsidP="00E16642">
      <w:r w:rsidRPr="00EB5CF0">
        <w:t>Se propone un proceso compuesto de cuatro momentos; el primero, la identificación de las áreas de mejora a través de un análisis FODA (incluyendo el establecimiento de estrategias); el segundo, la detección de causas que detienen o inhiben el desarrollo del posgrado; el tercero, la formulación de objetivos y metas con su respectivo periodo en que se cumplirán; el cuarto, la selección de las acciones de mejora, eligiendo de entre las propuestas anteriores con criterios como la dificultad, los plazos establecidos, el impacto y la priorización.</w:t>
      </w:r>
    </w:p>
    <w:p w:rsidR="00356E67" w:rsidRPr="00EB5CF0" w:rsidRDefault="00356E67" w:rsidP="00E16642"/>
    <w:p w:rsidR="00356E67" w:rsidRPr="00EB5CF0" w:rsidRDefault="00356E67" w:rsidP="00E16642">
      <w:r w:rsidRPr="00EB5CF0">
        <w:t xml:space="preserve">Con esta presentación no se solucionan por completo las carencias de la Metodología que se utiliza en el CONACyT para la evaluación de los programas de posgrado, pero sí se tiene un primer paso para lograrlo. Por último se van a </w:t>
      </w:r>
      <w:r w:rsidRPr="00EB5CF0">
        <w:lastRenderedPageBreak/>
        <w:t>mencionar algunas de las posturas de autores que han criticado este modelo pensando en establecer líneas de trabajo posteriores.</w:t>
      </w:r>
    </w:p>
    <w:p w:rsidR="00356E67" w:rsidRPr="00EB5CF0" w:rsidRDefault="00356E67" w:rsidP="00E16642"/>
    <w:p w:rsidR="00356E67" w:rsidRDefault="00356E67" w:rsidP="00E16642">
      <w:r w:rsidRPr="00EB5CF0">
        <w:t xml:space="preserve">Ángel Díaz Barriga </w:t>
      </w:r>
      <w:sdt>
        <w:sdtPr>
          <w:id w:val="942184"/>
          <w:citation/>
        </w:sdtPr>
        <w:sdtEndPr/>
        <w:sdtContent>
          <w:r w:rsidR="0072146B" w:rsidRPr="00EB5CF0">
            <w:fldChar w:fldCharType="begin"/>
          </w:r>
          <w:r w:rsidRPr="00EB5CF0">
            <w:instrText xml:space="preserve"> CITATION Día06 \n  \t  \l 2058  </w:instrText>
          </w:r>
          <w:r w:rsidR="0072146B" w:rsidRPr="00EB5CF0">
            <w:fldChar w:fldCharType="separate"/>
          </w:r>
          <w:r w:rsidRPr="00EB5CF0">
            <w:rPr>
              <w:noProof/>
            </w:rPr>
            <w:t>(2006)</w:t>
          </w:r>
          <w:r w:rsidR="0072146B" w:rsidRPr="00EB5CF0">
            <w:fldChar w:fldCharType="end"/>
          </w:r>
        </w:sdtContent>
      </w:sdt>
      <w:r w:rsidRPr="00EB5CF0">
        <w:t xml:space="preserve"> afirma que aún cuando desde el 2000 se enviaron a los encargados de la educación superior los retos que enfrenta la formación a nivel posgrado, no se ha alcanzado a entender la diferenciación entre los posgrados con orientación de investigación y los profesionalizantes. Lo anterior  afecta directamente a los indicadores de evaluación, que en general son repetitivos, y algo más importante, son redactados de distinta manera para cada orientación pero no profundizan en tal diferencia. Presenta el ejemplo del lenguaje utilizado para explicar la participación de los alumno: “en las maestrías con orientación a la investigación […] ‘El alumno participará en actividades de investigación conducidas por profesores del posgrado’ mientras que el lenguaje empleado en las maestrías con orientación profesional es ‘Participar en proyectos terminales de carácter profesional, docente o empresarial’ </w:t>
      </w:r>
      <w:sdt>
        <w:sdtPr>
          <w:id w:val="942185"/>
          <w:citation/>
        </w:sdtPr>
        <w:sdtEndPr/>
        <w:sdtContent>
          <w:r w:rsidR="0072146B" w:rsidRPr="00EB5CF0">
            <w:fldChar w:fldCharType="begin"/>
          </w:r>
          <w:r w:rsidRPr="00EB5CF0">
            <w:instrText xml:space="preserve"> CITATION Día06 \p 2 \n  \y  \t  \l 2058  </w:instrText>
          </w:r>
          <w:r w:rsidR="0072146B" w:rsidRPr="00EB5CF0">
            <w:fldChar w:fldCharType="separate"/>
          </w:r>
          <w:r w:rsidRPr="00EB5CF0">
            <w:rPr>
              <w:noProof/>
            </w:rPr>
            <w:t>(pág. 2)</w:t>
          </w:r>
          <w:r w:rsidR="0072146B" w:rsidRPr="00EB5CF0">
            <w:fldChar w:fldCharType="end"/>
          </w:r>
        </w:sdtContent>
      </w:sdt>
      <w:r w:rsidR="0085400D">
        <w:t>.</w:t>
      </w:r>
    </w:p>
    <w:p w:rsidR="0085400D" w:rsidRDefault="0085400D" w:rsidP="00E16642">
      <w:pPr>
        <w:sectPr w:rsidR="0085400D" w:rsidSect="0085400D">
          <w:headerReference w:type="default" r:id="rId44"/>
          <w:pgSz w:w="12240" w:h="15840" w:code="1"/>
          <w:pgMar w:top="1418" w:right="1701" w:bottom="1418" w:left="1701" w:header="709" w:footer="709" w:gutter="0"/>
          <w:cols w:space="708"/>
          <w:docGrid w:linePitch="360"/>
        </w:sectPr>
      </w:pPr>
    </w:p>
    <w:p w:rsidR="002B0B9D" w:rsidRDefault="00436C36" w:rsidP="00E16642">
      <w:pPr>
        <w:pStyle w:val="Ttulo1"/>
      </w:pPr>
      <w:bookmarkStart w:id="41" w:name="_Toc308691496"/>
      <w:r>
        <w:lastRenderedPageBreak/>
        <w:t>Conclusiones</w:t>
      </w:r>
      <w:bookmarkEnd w:id="41"/>
    </w:p>
    <w:p w:rsidR="00FA0F4B" w:rsidRDefault="00FA0F4B" w:rsidP="00E16642">
      <w:pPr>
        <w:rPr>
          <w:rFonts w:cs="Arial"/>
          <w:szCs w:val="24"/>
        </w:rPr>
      </w:pPr>
    </w:p>
    <w:p w:rsidR="00FA0F4B" w:rsidRPr="00A150A9" w:rsidRDefault="00FA0F4B" w:rsidP="00E16642">
      <w:pPr>
        <w:rPr>
          <w:rFonts w:cs="Arial"/>
          <w:szCs w:val="24"/>
        </w:rPr>
      </w:pPr>
      <w:r w:rsidRPr="00A150A9">
        <w:rPr>
          <w:rFonts w:cs="Arial"/>
          <w:szCs w:val="24"/>
        </w:rPr>
        <w:t>El desarrollo del posgrado en México está supeditado a las políticas públicas en ciencia y tecnología</w:t>
      </w:r>
      <w:r>
        <w:rPr>
          <w:rFonts w:cs="Arial"/>
          <w:szCs w:val="24"/>
        </w:rPr>
        <w:t>,</w:t>
      </w:r>
      <w:r w:rsidRPr="00A150A9">
        <w:rPr>
          <w:rFonts w:cs="Arial"/>
          <w:szCs w:val="24"/>
        </w:rPr>
        <w:t xml:space="preserve"> promovidas e instrumentadas por instancias y organismos</w:t>
      </w:r>
      <w:r>
        <w:rPr>
          <w:rFonts w:cs="Arial"/>
          <w:szCs w:val="24"/>
        </w:rPr>
        <w:t>,</w:t>
      </w:r>
      <w:r w:rsidRPr="00A150A9">
        <w:rPr>
          <w:rFonts w:cs="Arial"/>
          <w:szCs w:val="24"/>
        </w:rPr>
        <w:t xml:space="preserve"> principalmente, desde la administración pública. Es evidente que ha sido objeto de atención porque constituye un factor de desarrollo para el país.</w:t>
      </w:r>
    </w:p>
    <w:p w:rsidR="00FA0F4B" w:rsidRPr="00A150A9" w:rsidRDefault="00FA0F4B" w:rsidP="00E16642">
      <w:pPr>
        <w:rPr>
          <w:rFonts w:cs="Arial"/>
          <w:szCs w:val="24"/>
        </w:rPr>
      </w:pPr>
    </w:p>
    <w:p w:rsidR="00FA0F4B" w:rsidRPr="00A150A9" w:rsidRDefault="00FA0F4B" w:rsidP="00E16642">
      <w:pPr>
        <w:rPr>
          <w:rFonts w:cs="Arial"/>
          <w:szCs w:val="24"/>
        </w:rPr>
      </w:pPr>
      <w:r w:rsidRPr="00A150A9">
        <w:rPr>
          <w:rFonts w:cs="Arial"/>
          <w:szCs w:val="24"/>
        </w:rPr>
        <w:t>La consolidación del Sistema Nacional de Ciencia y Tecnología requiere del establecimiento de políticas de calidad para el posgrado. Por lo que se han llevado a cabo diversas estrategias desde la creación del CONACyT, como el Padrón de Posgrados de Excelencia o el Programa de Fortalecimiento al Posgrado Nacional, que han evolucionado hasta implementar el Programa Nacional de Posgrados de Calidad (PNPC), que el Consejo administra actualmente en conjunto con la Subsecretaría de Educación Superior.</w:t>
      </w:r>
    </w:p>
    <w:p w:rsidR="00FA0F4B" w:rsidRPr="00A150A9" w:rsidRDefault="00FA0F4B" w:rsidP="00E16642">
      <w:pPr>
        <w:rPr>
          <w:rFonts w:cs="Arial"/>
          <w:szCs w:val="24"/>
        </w:rPr>
      </w:pPr>
    </w:p>
    <w:p w:rsidR="00FA0F4B" w:rsidRPr="00A150A9" w:rsidRDefault="00FA0F4B" w:rsidP="00E16642">
      <w:pPr>
        <w:rPr>
          <w:rFonts w:cs="Arial"/>
          <w:szCs w:val="24"/>
        </w:rPr>
      </w:pPr>
      <w:r w:rsidRPr="00A150A9">
        <w:rPr>
          <w:rFonts w:cs="Arial"/>
          <w:szCs w:val="24"/>
        </w:rPr>
        <w:t>En el PNPC se establecieron dos vertientes para impulsar el desarrollo de los posgrados, un Padrón Nacional de Posgrados en donde se incluyen los programas que ya cuentan con reconocimiento tanto nacional como internacional, y un Programa de Fomento a la Calidad para los posgrados que aún no han logrado la consolidación o que son de reciente creación. En ambos casos son reconocidas dos orientaciones de los posgrados, los dirigidos a la formación de investigadores y los destinados a la especialización de profesionistas, es decir, se atiende a la función formal y primaria del posgrado, que es la de formar cuadros para las propias instituciones de educación superior, para la realización de actividades de docencia e investigación; y a la función secundaria, la formación de profesionales de alto nivel para el sector de la producción y de los servicios.</w:t>
      </w:r>
    </w:p>
    <w:p w:rsidR="00FA0F4B" w:rsidRPr="00A150A9" w:rsidRDefault="00FA0F4B" w:rsidP="00E16642">
      <w:pPr>
        <w:rPr>
          <w:rFonts w:cs="Arial"/>
          <w:szCs w:val="24"/>
        </w:rPr>
      </w:pPr>
    </w:p>
    <w:p w:rsidR="00FA0F4B" w:rsidRPr="00A150A9" w:rsidRDefault="00FA0F4B" w:rsidP="00E16642">
      <w:pPr>
        <w:rPr>
          <w:rFonts w:cs="Arial"/>
          <w:szCs w:val="24"/>
        </w:rPr>
      </w:pPr>
      <w:r w:rsidRPr="00A150A9">
        <w:rPr>
          <w:rFonts w:cs="Arial"/>
          <w:szCs w:val="24"/>
        </w:rPr>
        <w:t xml:space="preserve">El  sistema de garantía de la calidad de los programas de posgrado está compuesto por dos subsistemas. El primero es un sistema interno de aseguramiento de la calidad, que los integrantes de un programa realizan por medio de una reflexión colegiada: incluye un proceso de auto-evaluación, la </w:t>
      </w:r>
      <w:r w:rsidRPr="00A150A9">
        <w:rPr>
          <w:rFonts w:cs="Arial"/>
          <w:szCs w:val="24"/>
        </w:rPr>
        <w:lastRenderedPageBreak/>
        <w:t>conformación de un plan de mejora y seguimiento, y la presentación de una página web</w:t>
      </w:r>
      <w:r>
        <w:rPr>
          <w:rFonts w:cs="Arial"/>
          <w:szCs w:val="24"/>
        </w:rPr>
        <w:t xml:space="preserve"> que cumpla</w:t>
      </w:r>
      <w:r w:rsidRPr="00A150A9">
        <w:rPr>
          <w:rFonts w:cs="Arial"/>
          <w:szCs w:val="24"/>
        </w:rPr>
        <w:t xml:space="preserve"> con los requisitos que el CONACyT ha establecido en el Modelo del PNPC. El segundo subsistema es externo, el cual garantiza una evaluación transparente y efectiva realizada por pares académicos, en esta etapa se incluye la pre-evaluación, la evaluación plenaria y las réplicas, para finalizar con la certificación y el seguimiento al programa (Álvarez </w:t>
      </w:r>
      <w:proofErr w:type="spellStart"/>
      <w:r w:rsidRPr="00A150A9">
        <w:rPr>
          <w:rFonts w:cs="Arial"/>
          <w:szCs w:val="24"/>
        </w:rPr>
        <w:t>Bruneliere</w:t>
      </w:r>
      <w:proofErr w:type="spellEnd"/>
      <w:r w:rsidRPr="00A150A9">
        <w:rPr>
          <w:rFonts w:cs="Arial"/>
          <w:szCs w:val="24"/>
        </w:rPr>
        <w:t xml:space="preserve"> &amp; Ponce Ramírez, 2010).</w:t>
      </w:r>
    </w:p>
    <w:p w:rsidR="00FA0F4B" w:rsidRPr="00A150A9" w:rsidRDefault="00FA0F4B" w:rsidP="00E16642">
      <w:pPr>
        <w:rPr>
          <w:rFonts w:cs="Arial"/>
          <w:szCs w:val="24"/>
        </w:rPr>
      </w:pPr>
    </w:p>
    <w:p w:rsidR="00FA0F4B" w:rsidRPr="00A150A9" w:rsidRDefault="00FA0F4B" w:rsidP="00E16642">
      <w:pPr>
        <w:rPr>
          <w:rFonts w:cs="Arial"/>
          <w:szCs w:val="24"/>
        </w:rPr>
      </w:pPr>
      <w:r w:rsidRPr="00A150A9">
        <w:rPr>
          <w:rFonts w:cs="Arial"/>
          <w:szCs w:val="24"/>
        </w:rPr>
        <w:t>En el capítulo tercero, se especificaron los requisitos que establece el PNPC, haciendo énfasis en los criterios diferenciados entre las dos orientaciones. Cuando se inició la recolección</w:t>
      </w:r>
      <w:r>
        <w:rPr>
          <w:rFonts w:cs="Arial"/>
          <w:szCs w:val="24"/>
        </w:rPr>
        <w:t xml:space="preserve"> de información para es</w:t>
      </w:r>
      <w:r w:rsidRPr="00A150A9">
        <w:rPr>
          <w:rFonts w:cs="Arial"/>
          <w:szCs w:val="24"/>
        </w:rPr>
        <w:t xml:space="preserve">e capítulo, se había notado que: en los documentos que el CONACyT facilitaba para realizar trámites de inscripción al Padrón, la diferenciación entre los programas por su orientación era sucinta e incluso confusa. Por lo que se revisaron trabajos de diversos autores, que abordaban el mismo problema e intentaban establecer indicadores particulares. Asimismo se recurrió a documentos que el CONACyT había utilizado durante la gestión del Padrón de Excelencia y el Programa de Fortalecimiento al Posgrado Nacional, estrategias de años anteriores. </w:t>
      </w:r>
    </w:p>
    <w:p w:rsidR="00FA0F4B" w:rsidRPr="00A150A9" w:rsidRDefault="00FA0F4B" w:rsidP="00E16642">
      <w:pPr>
        <w:rPr>
          <w:rFonts w:cs="Arial"/>
          <w:szCs w:val="24"/>
        </w:rPr>
      </w:pPr>
    </w:p>
    <w:p w:rsidR="00FA0F4B" w:rsidRDefault="00FA0F4B" w:rsidP="00E16642">
      <w:pPr>
        <w:rPr>
          <w:rFonts w:cs="Arial"/>
          <w:szCs w:val="24"/>
        </w:rPr>
      </w:pPr>
      <w:r w:rsidRPr="00A150A9">
        <w:rPr>
          <w:rFonts w:cs="Arial"/>
          <w:szCs w:val="24"/>
        </w:rPr>
        <w:t xml:space="preserve">Esta carencia o falta de claridad, también fue notada por el mismo CONACyT y a través del Foro Consultivo de Ciencia y Tecnología se realizaron trabajos para reparar el error. Sin embargo, </w:t>
      </w:r>
      <w:r>
        <w:rPr>
          <w:rFonts w:cs="Arial"/>
          <w:szCs w:val="24"/>
        </w:rPr>
        <w:t xml:space="preserve">con </w:t>
      </w:r>
      <w:r w:rsidRPr="00A150A9">
        <w:rPr>
          <w:rFonts w:cs="Arial"/>
          <w:szCs w:val="24"/>
        </w:rPr>
        <w:t xml:space="preserve">los documentos que aparecieron en 2010: una nueva versión del Anexo A y un Glosario de términos del PNPC, ambos para programas Escolarizados, aún </w:t>
      </w:r>
      <w:r>
        <w:rPr>
          <w:rFonts w:cs="Arial"/>
          <w:szCs w:val="24"/>
        </w:rPr>
        <w:t>quedan</w:t>
      </w:r>
      <w:r w:rsidRPr="00A150A9">
        <w:rPr>
          <w:rFonts w:cs="Arial"/>
          <w:szCs w:val="24"/>
        </w:rPr>
        <w:t xml:space="preserve"> vacíos</w:t>
      </w:r>
      <w:r>
        <w:rPr>
          <w:rFonts w:cs="Arial"/>
          <w:szCs w:val="24"/>
        </w:rPr>
        <w:t xml:space="preserve"> o un trato superficial que no acaba por di</w:t>
      </w:r>
      <w:r w:rsidRPr="00A150A9">
        <w:rPr>
          <w:rFonts w:cs="Arial"/>
          <w:szCs w:val="24"/>
        </w:rPr>
        <w:t xml:space="preserve">ferenciar correctamente los programas de acuerdo a su orientación. </w:t>
      </w:r>
      <w:r>
        <w:rPr>
          <w:rFonts w:cs="Arial"/>
          <w:szCs w:val="24"/>
        </w:rPr>
        <w:t>Por lo que, conjuntando los documentos anteriores y estos últimos trabajos del Foro, se pretende facilitar la distinción entre programas profesionalizantes y de investigación. Esta última categoría es en la que se ubica a la MCMC como perspectiva para su desarrollo.</w:t>
      </w:r>
    </w:p>
    <w:p w:rsidR="00FA0F4B" w:rsidRDefault="00FA0F4B" w:rsidP="00E16642">
      <w:pPr>
        <w:rPr>
          <w:rFonts w:cs="Arial"/>
          <w:szCs w:val="24"/>
        </w:rPr>
      </w:pPr>
    </w:p>
    <w:p w:rsidR="00FA0F4B" w:rsidRDefault="00FA0F4B" w:rsidP="00E16642">
      <w:pPr>
        <w:rPr>
          <w:rFonts w:cs="Arial"/>
          <w:szCs w:val="24"/>
        </w:rPr>
      </w:pPr>
      <w:r>
        <w:rPr>
          <w:rFonts w:cs="Arial"/>
          <w:szCs w:val="24"/>
        </w:rPr>
        <w:lastRenderedPageBreak/>
        <w:t>Luego del recorrido histórico del desarrollo de la MCMC, que se presentó en el primer capítulo, es justificable la insistencia de emparejar a la Maestría con los criterios que el CONACyT establece para los programas con orientación a la investigación. Fue evidente que aún siendo clasificada como una Maestría en Ciencias, programa del IPN que habilita al estudiante en actividades de investigación, durante sus más de 25 años de existencia ha prevalecido una orientación profesionalizante; que aunque ha dado resultados considerables como la participación de los estudiantes y profesores con diferentes instituciones de educación superior y distintas unidades académicas del mismo IPN o como su registro en el Padrón de Excelencia por ocho años, la formación de estudiantes atendió al área de métodos de investigación y no a la de metodología de la ciencia.</w:t>
      </w:r>
    </w:p>
    <w:p w:rsidR="00FA0F4B" w:rsidRDefault="00FA0F4B" w:rsidP="00E16642">
      <w:pPr>
        <w:rPr>
          <w:rFonts w:cs="Arial"/>
          <w:szCs w:val="24"/>
        </w:rPr>
      </w:pPr>
    </w:p>
    <w:p w:rsidR="00FA0F4B" w:rsidRDefault="00FA0F4B" w:rsidP="00E16642">
      <w:pPr>
        <w:rPr>
          <w:rFonts w:cs="Arial"/>
          <w:szCs w:val="24"/>
        </w:rPr>
      </w:pPr>
      <w:r>
        <w:rPr>
          <w:rFonts w:cs="Arial"/>
          <w:szCs w:val="24"/>
        </w:rPr>
        <w:t xml:space="preserve">A lo largo de todo ese periodo, los integrantes del programa participaron constantemente en discusiones, análisis y revaloraciones de los objetivos de la MCMC o del perfil de aspirantes y egresados que debía atender, entre diversos aspectos. En los debates más constructivos se reflexionaba sobre conceptos como ‘método’ y ‘metodología’, o sobre la pertinencia de la Maestría en términos de políticas institucionales; pero en otras ocasiones (la mayoría), </w:t>
      </w:r>
      <w:r w:rsidR="00AB32CA">
        <w:rPr>
          <w:rFonts w:cs="Arial"/>
          <w:szCs w:val="24"/>
        </w:rPr>
        <w:t>solo</w:t>
      </w:r>
      <w:r>
        <w:rPr>
          <w:rFonts w:cs="Arial"/>
          <w:szCs w:val="24"/>
        </w:rPr>
        <w:t xml:space="preserve"> se exponía la ideología de cada uno de los participantes y se amalgamaban las propuestas a manera de congraciar a todos.</w:t>
      </w:r>
    </w:p>
    <w:p w:rsidR="00FA0F4B" w:rsidRDefault="00FA0F4B" w:rsidP="00E16642">
      <w:pPr>
        <w:rPr>
          <w:rFonts w:cs="Arial"/>
          <w:szCs w:val="24"/>
        </w:rPr>
      </w:pPr>
    </w:p>
    <w:p w:rsidR="00FA0F4B" w:rsidRDefault="00FA0F4B" w:rsidP="00E16642">
      <w:pPr>
        <w:rPr>
          <w:rFonts w:cs="Arial"/>
          <w:szCs w:val="24"/>
        </w:rPr>
      </w:pPr>
      <w:r>
        <w:rPr>
          <w:rFonts w:cs="Arial"/>
          <w:szCs w:val="24"/>
        </w:rPr>
        <w:t xml:space="preserve">Lo anterior puede atestiguarse con la revisión de los trabajos de tesis desarrollados, un número considerable de ellos no corresponde a los objetivos del programa, tampoco puede ubicarse dentro las Líneas de Generación de Conocimiento, algunos otros </w:t>
      </w:r>
      <w:r w:rsidR="00AB32CA">
        <w:rPr>
          <w:rFonts w:cs="Arial"/>
          <w:szCs w:val="24"/>
        </w:rPr>
        <w:t>solo</w:t>
      </w:r>
      <w:r>
        <w:rPr>
          <w:rFonts w:cs="Arial"/>
          <w:szCs w:val="24"/>
        </w:rPr>
        <w:t xml:space="preserve"> parecen incluir el término ‘método’ a manera de ligar el tema a la Maestría, esto fue evidenciado por una de las revisiones externas, realizada por Ledesma y Arellano (2002). Pero quizá puede explicarse, porque la formación de estudiantes en la MCMC, estuvo delimitada por el análisis y reflexión sobre los métodos de investigación, postura en donde se considera que los métodos y técnicas que ya están dados (existen </w:t>
      </w:r>
      <w:r w:rsidRPr="00BF6A67">
        <w:rPr>
          <w:rFonts w:cs="Arial"/>
          <w:i/>
          <w:szCs w:val="24"/>
        </w:rPr>
        <w:t>per se</w:t>
      </w:r>
      <w:r>
        <w:rPr>
          <w:rFonts w:cs="Arial"/>
          <w:szCs w:val="24"/>
        </w:rPr>
        <w:t xml:space="preserve">), entonces el </w:t>
      </w:r>
      <w:r>
        <w:rPr>
          <w:rFonts w:cs="Arial"/>
          <w:szCs w:val="24"/>
        </w:rPr>
        <w:lastRenderedPageBreak/>
        <w:t>metodólogo tendría una función de vigilante del cumplimiento de los procesos de in</w:t>
      </w:r>
      <w:r w:rsidR="008B0E01">
        <w:rPr>
          <w:rFonts w:cs="Arial"/>
          <w:szCs w:val="24"/>
        </w:rPr>
        <w:t xml:space="preserve">vestigación de cualquier área, </w:t>
      </w:r>
      <w:r>
        <w:rPr>
          <w:rFonts w:cs="Arial"/>
          <w:szCs w:val="24"/>
        </w:rPr>
        <w:t>a diferencia de la orientación hacia la metodología de la ciencia, estudio que debería realizarse dentro de la disciplina de formación del estudiante.</w:t>
      </w:r>
      <w:r w:rsidR="008B0E01">
        <w:rPr>
          <w:rFonts w:cs="Arial"/>
          <w:szCs w:val="24"/>
        </w:rPr>
        <w:t xml:space="preserve"> La idea que se propone es conceptualizar a la metodología como el vínculo entre la teoría o el paradigma en el que se inscribe el trabajo de investigación y el desarrollo de la misma, cuidando no regresar a los criterios de ciencia unificada, desde donde se postulan divisiones como las corrientes cualitativas y cuantitativas.</w:t>
      </w:r>
    </w:p>
    <w:p w:rsidR="00FA0F4B" w:rsidRDefault="00FA0F4B" w:rsidP="00E16642">
      <w:pPr>
        <w:rPr>
          <w:rFonts w:cs="Arial"/>
          <w:szCs w:val="24"/>
        </w:rPr>
      </w:pPr>
    </w:p>
    <w:p w:rsidR="00FA0F4B" w:rsidRDefault="00FA0F4B" w:rsidP="00E16642">
      <w:pPr>
        <w:rPr>
          <w:rFonts w:cs="Arial"/>
          <w:szCs w:val="24"/>
        </w:rPr>
      </w:pPr>
      <w:r>
        <w:rPr>
          <w:rFonts w:cs="Arial"/>
          <w:szCs w:val="24"/>
        </w:rPr>
        <w:t>En la última propuesta de la MCMC, parece que se redirige el programa al estudio de la metodología de las ciencias, nótese cómo se ha pluralizado el último término, se tiene contemplada ahora, la formación de un científico de la metodología en su disciplina de origen. Sin embargo, ello acarrea cuestiones sobre la base académica con la que cuenta el posgrado.</w:t>
      </w:r>
    </w:p>
    <w:p w:rsidR="00FA0F4B" w:rsidRDefault="00FA0F4B" w:rsidP="00E16642">
      <w:pPr>
        <w:rPr>
          <w:rFonts w:cs="Arial"/>
          <w:szCs w:val="24"/>
        </w:rPr>
      </w:pPr>
    </w:p>
    <w:p w:rsidR="00FA0F4B" w:rsidRDefault="00FA0F4B" w:rsidP="00E16642">
      <w:pPr>
        <w:rPr>
          <w:rFonts w:cs="Arial"/>
          <w:szCs w:val="24"/>
        </w:rPr>
      </w:pPr>
      <w:r>
        <w:rPr>
          <w:rFonts w:cs="Arial"/>
          <w:szCs w:val="24"/>
        </w:rPr>
        <w:t xml:space="preserve">De acuerdo con el CONACyT, un programa de maestría con orientación a la investigación, la planta académica será fundamentalmente de tiempo completo con un mínimo de ocho profesores, cinco de los cuales deberán tener el grado de doctor; es posible, además tener investigadores invitados como profesores. Se justifica (esto de acuerdo al reglamento del IPN) a un profesor de tiempo completo cuando haya una relación de uno a uno entre profesor-alumno inscrito en el programa. El CONACyT indica también, que deben participar un mínimo de tres profesores por cada Línea de Generación de Conocimiento. En cuanto a la atención de alumnos, la proporción es de 4 a 6 estudiantes por profesor, y </w:t>
      </w:r>
      <w:r w:rsidR="00AB32CA">
        <w:rPr>
          <w:rFonts w:cs="Arial"/>
          <w:szCs w:val="24"/>
        </w:rPr>
        <w:t>solo</w:t>
      </w:r>
      <w:r>
        <w:rPr>
          <w:rFonts w:cs="Arial"/>
          <w:szCs w:val="24"/>
        </w:rPr>
        <w:t xml:space="preserve"> cuatro simultáneos como </w:t>
      </w:r>
      <w:proofErr w:type="spellStart"/>
      <w:r>
        <w:rPr>
          <w:rFonts w:cs="Arial"/>
          <w:szCs w:val="24"/>
        </w:rPr>
        <w:t>tesistas</w:t>
      </w:r>
      <w:proofErr w:type="spellEnd"/>
      <w:r>
        <w:rPr>
          <w:rFonts w:cs="Arial"/>
          <w:szCs w:val="24"/>
        </w:rPr>
        <w:t xml:space="preserve">. </w:t>
      </w:r>
    </w:p>
    <w:p w:rsidR="00FA0F4B" w:rsidRDefault="00FA0F4B" w:rsidP="00E16642">
      <w:pPr>
        <w:rPr>
          <w:rFonts w:cs="Arial"/>
          <w:szCs w:val="24"/>
        </w:rPr>
      </w:pPr>
    </w:p>
    <w:p w:rsidR="00FA0F4B" w:rsidRDefault="00FA0F4B" w:rsidP="00E16642">
      <w:pPr>
        <w:rPr>
          <w:rFonts w:cs="Arial"/>
          <w:szCs w:val="24"/>
        </w:rPr>
      </w:pPr>
      <w:r>
        <w:rPr>
          <w:rFonts w:cs="Arial"/>
          <w:szCs w:val="24"/>
        </w:rPr>
        <w:t xml:space="preserve">Con relación a lo anterior, dentro de la MCMC, en la Línea de Generación de Conocimiento (LGC) de Filosofía e Historia de la Ciencia participan cinco profesores todos menos uno son doctores en áreas como educación, historia, derecho y ciencias sociales; en la LGC de Bases epistemológicas de la metodología también se presenta la misma relación (5-1) con doctorados en Física </w:t>
      </w:r>
      <w:r>
        <w:rPr>
          <w:rFonts w:cs="Arial"/>
          <w:szCs w:val="24"/>
        </w:rPr>
        <w:lastRenderedPageBreak/>
        <w:t>y Matemáticas; en la LGC de Metodología en los estudios sociales par</w:t>
      </w:r>
      <w:r w:rsidR="008B0E01">
        <w:rPr>
          <w:rFonts w:cs="Arial"/>
          <w:szCs w:val="24"/>
        </w:rPr>
        <w:t xml:space="preserve">ticipan cuatro académicos, con </w:t>
      </w:r>
      <w:r>
        <w:rPr>
          <w:rFonts w:cs="Arial"/>
          <w:szCs w:val="24"/>
        </w:rPr>
        <w:t>doctorados en Ciencias Políticas, Ciencias administrativas y Ciencias de la Salud (uno de los docentes no cuenta con el grado de doctor).</w:t>
      </w:r>
    </w:p>
    <w:p w:rsidR="00FA0F4B" w:rsidRDefault="00FA0F4B" w:rsidP="00E16642">
      <w:pPr>
        <w:rPr>
          <w:rFonts w:cs="Arial"/>
          <w:szCs w:val="24"/>
        </w:rPr>
      </w:pPr>
    </w:p>
    <w:p w:rsidR="00FA0F4B" w:rsidRDefault="00FA0F4B" w:rsidP="00E16642">
      <w:pPr>
        <w:rPr>
          <w:rFonts w:cs="Arial"/>
          <w:szCs w:val="24"/>
        </w:rPr>
      </w:pPr>
      <w:r>
        <w:rPr>
          <w:rFonts w:cs="Arial"/>
          <w:szCs w:val="24"/>
        </w:rPr>
        <w:t>Se cumple entonces, teniendo más de tres profesores por LGC, también con el grado académico de doctorado y de acuerdo al número de estudiantes que se establece, puede atenderse (20), también se cumple con el criterio de relación alumno-profesor de tiempo completo. Sin embargo, el reto ahora es la formación de científicos de la metodología en la disciplina de origen del estudiante y la convocatoria establece que podrá ser aspirante cualquier área de saber con la condición de incorporarse a una LGC, pero no en todas hay especialistas de todas las diferentes áreas y aunque se podría contar con profesores invitados e incluso la materia optativa está planeada para poder cursarse en cualquier unidad académica del IPN u otra institución educativa, el reto es el enfoque que se les pueda dar dentro de las materias para cubrir las necesidades individuales del alumno.</w:t>
      </w:r>
    </w:p>
    <w:p w:rsidR="00FA0F4B" w:rsidRDefault="00FA0F4B" w:rsidP="00E16642">
      <w:pPr>
        <w:rPr>
          <w:rFonts w:cs="Arial"/>
          <w:szCs w:val="24"/>
        </w:rPr>
      </w:pPr>
    </w:p>
    <w:p w:rsidR="00FA0F4B" w:rsidRDefault="00FA0F4B" w:rsidP="00E16642">
      <w:pPr>
        <w:rPr>
          <w:rFonts w:cs="Arial"/>
          <w:szCs w:val="24"/>
        </w:rPr>
      </w:pPr>
      <w:r>
        <w:rPr>
          <w:rFonts w:cs="Arial"/>
          <w:szCs w:val="24"/>
        </w:rPr>
        <w:t>Recuérdese que, l</w:t>
      </w:r>
      <w:r w:rsidRPr="0049233D">
        <w:rPr>
          <w:rFonts w:cs="Arial"/>
          <w:szCs w:val="24"/>
        </w:rPr>
        <w:t>a determinación de la calidad educativa</w:t>
      </w:r>
      <w:r>
        <w:rPr>
          <w:rFonts w:cs="Arial"/>
          <w:szCs w:val="24"/>
        </w:rPr>
        <w:t xml:space="preserve">  aunque</w:t>
      </w:r>
      <w:r w:rsidRPr="0049233D">
        <w:rPr>
          <w:rFonts w:cs="Arial"/>
          <w:szCs w:val="24"/>
        </w:rPr>
        <w:t xml:space="preserve"> supone una serie de análisis y valoraciones de los diferentes componentes del quehacer educativo, </w:t>
      </w:r>
      <w:r>
        <w:rPr>
          <w:rFonts w:cs="Arial"/>
          <w:szCs w:val="24"/>
        </w:rPr>
        <w:t>debe de tomar en cuenta la</w:t>
      </w:r>
      <w:r w:rsidRPr="0049233D">
        <w:rPr>
          <w:rFonts w:cs="Arial"/>
          <w:szCs w:val="24"/>
        </w:rPr>
        <w:t xml:space="preserve"> estructura y el proceso de formación. </w:t>
      </w:r>
      <w:r>
        <w:rPr>
          <w:rFonts w:cs="Arial"/>
          <w:szCs w:val="24"/>
        </w:rPr>
        <w:t xml:space="preserve">La insistencia en este punto es grande, por la propia experiencia como alumna del programa. Los contenidos de las materias fueron presentados de manera homogénea a todos los participantes de una misma generación cuando se tenían disciplinas de origen diferentes. Hay que trabajar también en el programa de tutores por alumno, debe ser una elección que dependa de las necesidades del discente. </w:t>
      </w:r>
    </w:p>
    <w:p w:rsidR="00FA0F4B" w:rsidRDefault="00FA0F4B" w:rsidP="00E16642">
      <w:pPr>
        <w:rPr>
          <w:rFonts w:cs="Arial"/>
          <w:szCs w:val="24"/>
        </w:rPr>
      </w:pPr>
    </w:p>
    <w:p w:rsidR="00FA0F4B" w:rsidRDefault="00FA0F4B" w:rsidP="00E16642">
      <w:pPr>
        <w:rPr>
          <w:rFonts w:cs="Arial"/>
          <w:szCs w:val="24"/>
        </w:rPr>
      </w:pPr>
      <w:r>
        <w:rPr>
          <w:rFonts w:cs="Arial"/>
          <w:szCs w:val="24"/>
        </w:rPr>
        <w:t>Si el programa de MCMC, salva los puntos anteriores y se convierte en su totalidad en un formador de científicos de la metodología tiene un lugar muy importante dentro del Modelo Educativo del IPN.</w:t>
      </w:r>
    </w:p>
    <w:p w:rsidR="00FA0F4B" w:rsidRDefault="00FA0F4B" w:rsidP="00E16642">
      <w:pPr>
        <w:rPr>
          <w:rFonts w:cs="Arial"/>
          <w:szCs w:val="24"/>
        </w:rPr>
      </w:pPr>
    </w:p>
    <w:p w:rsidR="00FA0F4B" w:rsidRDefault="00FA0F4B" w:rsidP="00E16642">
      <w:pPr>
        <w:rPr>
          <w:rFonts w:cs="Arial"/>
          <w:szCs w:val="24"/>
        </w:rPr>
      </w:pPr>
      <w:r>
        <w:rPr>
          <w:rFonts w:cs="Arial"/>
          <w:szCs w:val="24"/>
        </w:rPr>
        <w:lastRenderedPageBreak/>
        <w:t>L</w:t>
      </w:r>
      <w:r w:rsidRPr="00AF745A">
        <w:rPr>
          <w:rFonts w:cs="Arial"/>
          <w:szCs w:val="24"/>
        </w:rPr>
        <w:t>os académicos</w:t>
      </w:r>
      <w:r>
        <w:rPr>
          <w:rFonts w:cs="Arial"/>
          <w:szCs w:val="24"/>
        </w:rPr>
        <w:t>, dentro del Modelo Educativo del IPN,</w:t>
      </w:r>
      <w:r w:rsidRPr="00AF745A">
        <w:rPr>
          <w:rFonts w:cs="Arial"/>
          <w:szCs w:val="24"/>
        </w:rPr>
        <w:t xml:space="preserve"> deben realizar investigación al mismo tiempo que practican la docencia. Para ello el docente debe estar formado en la perspectiva filosófica, epistemológica, teórica, metodológica e instrumental de su disciplina</w:t>
      </w:r>
      <w:sdt>
        <w:sdtPr>
          <w:rPr>
            <w:rFonts w:cs="Arial"/>
            <w:szCs w:val="24"/>
          </w:rPr>
          <w:id w:val="3159438"/>
          <w:citation/>
        </w:sdtPr>
        <w:sdtEndPr/>
        <w:sdtContent>
          <w:r w:rsidR="0072146B" w:rsidRPr="00AF745A">
            <w:rPr>
              <w:rFonts w:cs="Arial"/>
              <w:szCs w:val="24"/>
            </w:rPr>
            <w:fldChar w:fldCharType="begin"/>
          </w:r>
          <w:r w:rsidRPr="00AF745A">
            <w:rPr>
              <w:rFonts w:cs="Arial"/>
              <w:szCs w:val="24"/>
            </w:rPr>
            <w:instrText xml:space="preserve"> CITATION Ser02 \l 2058 </w:instrText>
          </w:r>
          <w:r w:rsidR="0072146B" w:rsidRPr="00AF745A">
            <w:rPr>
              <w:rFonts w:cs="Arial"/>
              <w:szCs w:val="24"/>
            </w:rPr>
            <w:fldChar w:fldCharType="separate"/>
          </w:r>
          <w:r w:rsidRPr="00AF745A">
            <w:rPr>
              <w:rFonts w:cs="Arial"/>
              <w:szCs w:val="24"/>
            </w:rPr>
            <w:t xml:space="preserve"> (Serrano Castañeda, 2002)</w:t>
          </w:r>
          <w:r w:rsidR="0072146B" w:rsidRPr="00AF745A">
            <w:rPr>
              <w:rFonts w:cs="Arial"/>
              <w:szCs w:val="24"/>
            </w:rPr>
            <w:fldChar w:fldCharType="end"/>
          </w:r>
        </w:sdtContent>
      </w:sdt>
      <w:r w:rsidRPr="00AF745A">
        <w:rPr>
          <w:rFonts w:cs="Arial"/>
          <w:szCs w:val="24"/>
        </w:rPr>
        <w:t xml:space="preserve">, </w:t>
      </w:r>
      <w:r>
        <w:rPr>
          <w:rFonts w:cs="Arial"/>
          <w:szCs w:val="24"/>
        </w:rPr>
        <w:t xml:space="preserve">así </w:t>
      </w:r>
      <w:r w:rsidRPr="00AF745A">
        <w:rPr>
          <w:rFonts w:cs="Arial"/>
          <w:szCs w:val="24"/>
        </w:rPr>
        <w:t xml:space="preserve"> a través de su ejercicio de investigación </w:t>
      </w:r>
      <w:r>
        <w:rPr>
          <w:rFonts w:cs="Arial"/>
          <w:szCs w:val="24"/>
        </w:rPr>
        <w:t xml:space="preserve">puede </w:t>
      </w:r>
      <w:r w:rsidRPr="00AF745A">
        <w:rPr>
          <w:rFonts w:cs="Arial"/>
          <w:szCs w:val="24"/>
        </w:rPr>
        <w:t>aport</w:t>
      </w:r>
      <w:r>
        <w:rPr>
          <w:rFonts w:cs="Arial"/>
          <w:szCs w:val="24"/>
        </w:rPr>
        <w:t>ar</w:t>
      </w:r>
      <w:r w:rsidRPr="00AF745A">
        <w:rPr>
          <w:rFonts w:cs="Arial"/>
          <w:szCs w:val="24"/>
        </w:rPr>
        <w:t xml:space="preserve"> evidencias de las argumentaciones que presenta en clase. </w:t>
      </w:r>
      <w:r>
        <w:rPr>
          <w:rFonts w:cs="Arial"/>
          <w:szCs w:val="24"/>
        </w:rPr>
        <w:t xml:space="preserve">Esto anula la posibilidad de orientar a la MCMC hacia la profesionalización. Porque un egresado de la maestría que </w:t>
      </w:r>
      <w:r w:rsidR="00AB32CA">
        <w:rPr>
          <w:rFonts w:cs="Arial"/>
          <w:szCs w:val="24"/>
        </w:rPr>
        <w:t>solo</w:t>
      </w:r>
      <w:r>
        <w:rPr>
          <w:rFonts w:cs="Arial"/>
          <w:szCs w:val="24"/>
        </w:rPr>
        <w:t xml:space="preserve"> tuviera competencias para diseñar un protocolo de investigación o conociera algunos métodos y técnicas generales de investigación en términos </w:t>
      </w:r>
      <w:r w:rsidRPr="00AF745A">
        <w:rPr>
          <w:rFonts w:cs="Arial"/>
          <w:szCs w:val="24"/>
        </w:rPr>
        <w:t>de validez y confiabilidad</w:t>
      </w:r>
      <w:r>
        <w:rPr>
          <w:rFonts w:cs="Arial"/>
          <w:szCs w:val="24"/>
        </w:rPr>
        <w:t>,</w:t>
      </w:r>
      <w:r w:rsidRPr="00AF745A">
        <w:rPr>
          <w:rFonts w:cs="Arial"/>
          <w:szCs w:val="24"/>
        </w:rPr>
        <w:t xml:space="preserve"> lo convierte en un “vigilante” del proceso de investigación, de redacción y de presentación de los resultados de los trabajos de los estudiantes</w:t>
      </w:r>
      <w:r>
        <w:rPr>
          <w:rFonts w:cs="Arial"/>
          <w:szCs w:val="24"/>
        </w:rPr>
        <w:t>, ni siquiera un acompañante.</w:t>
      </w:r>
    </w:p>
    <w:p w:rsidR="00FA0F4B" w:rsidRDefault="00FA0F4B" w:rsidP="00E16642">
      <w:pPr>
        <w:rPr>
          <w:rFonts w:cs="Arial"/>
          <w:szCs w:val="24"/>
        </w:rPr>
      </w:pPr>
    </w:p>
    <w:p w:rsidR="00FA0F4B" w:rsidRDefault="00FA0F4B" w:rsidP="00E16642">
      <w:pPr>
        <w:rPr>
          <w:rFonts w:cs="Arial"/>
          <w:szCs w:val="24"/>
        </w:rPr>
      </w:pPr>
      <w:r>
        <w:rPr>
          <w:rFonts w:cs="Arial"/>
          <w:szCs w:val="24"/>
        </w:rPr>
        <w:t>La Reforma Académica fue la que impulsó el Modelo Educativo actual del IPN, surgió por la necesidad de mejorar su oferta académica ya que de la evaluación de planes de estudio se develó que eran rígidos y sin integración entre las diferentes unidades académicas. Por ello amplía su función de atención estudiantil y docencia a la investigación, es decir, se promueve el aprendizaje a través de la realización de investigación por lo que el docente también deberá realizarla. El posgrado en el IPN se convierte en el punto central para la formación de alumnos y la actualización de docentes.</w:t>
      </w:r>
    </w:p>
    <w:p w:rsidR="00FA0F4B" w:rsidRDefault="00FA0F4B" w:rsidP="00E16642">
      <w:pPr>
        <w:rPr>
          <w:rFonts w:cs="Arial"/>
          <w:szCs w:val="24"/>
        </w:rPr>
      </w:pPr>
    </w:p>
    <w:p w:rsidR="00FA0F4B" w:rsidRDefault="00FA0F4B" w:rsidP="00E16642">
      <w:pPr>
        <w:rPr>
          <w:rFonts w:cs="Arial"/>
          <w:szCs w:val="24"/>
        </w:rPr>
      </w:pPr>
      <w:r w:rsidRPr="001948EE">
        <w:rPr>
          <w:rFonts w:cs="Arial"/>
          <w:szCs w:val="24"/>
        </w:rPr>
        <w:t>La investigación se convierte en actor principal en</w:t>
      </w:r>
      <w:r>
        <w:rPr>
          <w:rFonts w:cs="Arial"/>
          <w:szCs w:val="24"/>
        </w:rPr>
        <w:t xml:space="preserve"> el Modelo Educativo como </w:t>
      </w:r>
      <w:r w:rsidRPr="001948EE">
        <w:rPr>
          <w:rFonts w:cs="Arial"/>
          <w:szCs w:val="24"/>
        </w:rPr>
        <w:t xml:space="preserve">generadora de los conocimientos necesarios para la Reforma Educativa y para la construcción de una sociedad del conocimiento; también </w:t>
      </w:r>
      <w:r>
        <w:rPr>
          <w:rFonts w:cs="Arial"/>
          <w:szCs w:val="24"/>
        </w:rPr>
        <w:t>es</w:t>
      </w:r>
      <w:r w:rsidRPr="001948EE">
        <w:rPr>
          <w:rFonts w:cs="Arial"/>
          <w:szCs w:val="24"/>
        </w:rPr>
        <w:t xml:space="preserve"> la clave de la formación de cada estudiante ya que será el apoyo desde el nivel medio superior hasta el posgrado y permitirá la detección temprana de investigadores y la actualización de los profesores del IPN propiciando espacios de participación en las diferentes líne</w:t>
      </w:r>
      <w:r>
        <w:rPr>
          <w:rFonts w:cs="Arial"/>
          <w:szCs w:val="24"/>
        </w:rPr>
        <w:t>as y políticas institucionales.</w:t>
      </w:r>
    </w:p>
    <w:p w:rsidR="00FA0F4B" w:rsidRDefault="00FA0F4B" w:rsidP="00E16642">
      <w:pPr>
        <w:rPr>
          <w:rFonts w:cs="Arial"/>
          <w:szCs w:val="24"/>
        </w:rPr>
      </w:pPr>
    </w:p>
    <w:p w:rsidR="00FA0F4B" w:rsidRDefault="00FA0F4B" w:rsidP="00E16642">
      <w:pPr>
        <w:rPr>
          <w:rFonts w:cs="Arial"/>
          <w:szCs w:val="24"/>
        </w:rPr>
      </w:pPr>
      <w:r>
        <w:rPr>
          <w:rFonts w:cs="Arial"/>
          <w:szCs w:val="24"/>
        </w:rPr>
        <w:lastRenderedPageBreak/>
        <w:t xml:space="preserve">Así dentro del Modelo Educativo, se crea el </w:t>
      </w:r>
      <w:r w:rsidRPr="001948EE">
        <w:rPr>
          <w:rFonts w:cs="Arial"/>
          <w:szCs w:val="24"/>
        </w:rPr>
        <w:t>Programa Estratégico de Investigación y Posgrado del IPN</w:t>
      </w:r>
      <w:r>
        <w:rPr>
          <w:rFonts w:cs="Arial"/>
          <w:szCs w:val="24"/>
        </w:rPr>
        <w:t>, siendo el instrumento para</w:t>
      </w:r>
      <w:r w:rsidRPr="001948EE">
        <w:rPr>
          <w:rFonts w:cs="Arial"/>
          <w:szCs w:val="24"/>
        </w:rPr>
        <w:t xml:space="preserve"> incrementar la calidad, ampliar la cobertura y lograr un mayor impacto y reconocimiento social de la investigación y el posgrado en todas y cada una de las Unidades Académicas</w:t>
      </w:r>
      <w:r>
        <w:rPr>
          <w:rFonts w:cs="Arial"/>
          <w:szCs w:val="24"/>
        </w:rPr>
        <w:t>.</w:t>
      </w:r>
    </w:p>
    <w:p w:rsidR="00FA0F4B" w:rsidRDefault="00FA0F4B" w:rsidP="00E16642">
      <w:pPr>
        <w:rPr>
          <w:rFonts w:cs="Arial"/>
          <w:szCs w:val="24"/>
        </w:rPr>
      </w:pPr>
    </w:p>
    <w:p w:rsidR="00FA0F4B" w:rsidRDefault="00FA0F4B" w:rsidP="00E16642">
      <w:pPr>
        <w:rPr>
          <w:rFonts w:cs="Arial"/>
          <w:szCs w:val="24"/>
        </w:rPr>
      </w:pPr>
      <w:r>
        <w:rPr>
          <w:rFonts w:cs="Arial"/>
          <w:szCs w:val="24"/>
        </w:rPr>
        <w:t xml:space="preserve">La investigación es considerada como el espacio idóneo de generación, transmisión, transferencia y aplicación del conocimiento científico y tecnológico. A través de ella se forman recursos humanos de alto nivel y en donde se realiza es en el posgrado porque es en donde se forman investigadores o se especializan profesionistas. </w:t>
      </w:r>
    </w:p>
    <w:p w:rsidR="00FA0F4B" w:rsidRDefault="00FA0F4B" w:rsidP="00E16642">
      <w:pPr>
        <w:rPr>
          <w:rFonts w:cs="Arial"/>
          <w:szCs w:val="24"/>
        </w:rPr>
      </w:pPr>
    </w:p>
    <w:p w:rsidR="00FA0F4B" w:rsidRDefault="00FA0F4B" w:rsidP="00E16642">
      <w:pPr>
        <w:rPr>
          <w:rFonts w:cs="Arial"/>
          <w:szCs w:val="24"/>
        </w:rPr>
      </w:pPr>
      <w:r>
        <w:rPr>
          <w:rFonts w:cs="Arial"/>
          <w:szCs w:val="24"/>
        </w:rPr>
        <w:t xml:space="preserve">Para lograr estos objetivos se instauró en el IPN, el </w:t>
      </w:r>
      <w:r w:rsidRPr="00CE4514">
        <w:rPr>
          <w:rFonts w:cs="Arial"/>
          <w:szCs w:val="24"/>
        </w:rPr>
        <w:t>Reordenamiento de la Investigación y el Posgrado</w:t>
      </w:r>
      <w:r>
        <w:rPr>
          <w:rFonts w:cs="Arial"/>
          <w:szCs w:val="24"/>
        </w:rPr>
        <w:t>, en donde se revalora la relación entre ambos; además se establecen trabajos para desarrollar, implementar y dar seguimiento a las Líneas Institucionales de Generación, Formación y Aplicación de conocimiento. Entre las que destaca la vinculación de la docencia y la investigación mencionada anteriormente.</w:t>
      </w:r>
    </w:p>
    <w:p w:rsidR="00FA0F4B" w:rsidRDefault="00FA0F4B" w:rsidP="00E16642">
      <w:pPr>
        <w:rPr>
          <w:rFonts w:cs="Arial"/>
          <w:szCs w:val="24"/>
        </w:rPr>
      </w:pPr>
    </w:p>
    <w:p w:rsidR="00FA0F4B" w:rsidRDefault="00FA0F4B" w:rsidP="00E16642">
      <w:pPr>
        <w:rPr>
          <w:rFonts w:cs="Arial"/>
          <w:szCs w:val="24"/>
        </w:rPr>
      </w:pPr>
      <w:r>
        <w:rPr>
          <w:rFonts w:cs="Arial"/>
          <w:szCs w:val="24"/>
        </w:rPr>
        <w:t>En este escenario, la MCMC cumpliría un papel decisivo en la formación tanto de alumnos como de profesores del mismo IPN que contribuirá al desarrollo nacional. A</w:t>
      </w:r>
      <w:r w:rsidRPr="00B758E0">
        <w:rPr>
          <w:rFonts w:cs="Arial"/>
          <w:szCs w:val="24"/>
        </w:rPr>
        <w:t>demás, el estudio de la metodología de la ciencia realizado desde la disciplina de cada alumno del programa favorece del desarrollo de la misma</w:t>
      </w:r>
      <w:r>
        <w:rPr>
          <w:rFonts w:cs="Arial"/>
          <w:szCs w:val="24"/>
        </w:rPr>
        <w:t xml:space="preserve">, actualmente la aparición de nuevas áreas de conocimiento ha sido explosiva, así como de la vinculación de áreas, ya sea multidisciplinariamente o </w:t>
      </w:r>
      <w:proofErr w:type="spellStart"/>
      <w:r>
        <w:rPr>
          <w:rFonts w:cs="Arial"/>
          <w:szCs w:val="24"/>
        </w:rPr>
        <w:t>transdisciplinariamente</w:t>
      </w:r>
      <w:proofErr w:type="spellEnd"/>
      <w:r>
        <w:rPr>
          <w:rFonts w:cs="Arial"/>
          <w:szCs w:val="24"/>
        </w:rPr>
        <w:t>, por lo se necesitan estudiosos de estas relaciones, recuérdese que los filósofos, historiadores, epistemólogos y metodólogos interesados en la metodología de la  ciencia, han realizado sus trabajo desde una disciplina, principalmente la física, por lo que hay un campo de estudio demasiado amplio.</w:t>
      </w:r>
    </w:p>
    <w:p w:rsidR="00FA0F4B" w:rsidRDefault="00FA0F4B" w:rsidP="00E16642">
      <w:pPr>
        <w:rPr>
          <w:rFonts w:cs="Arial"/>
          <w:szCs w:val="24"/>
        </w:rPr>
      </w:pPr>
    </w:p>
    <w:p w:rsidR="00FA0F4B" w:rsidRDefault="00FA0F4B" w:rsidP="00E16642">
      <w:pPr>
        <w:rPr>
          <w:rFonts w:cs="Arial"/>
          <w:szCs w:val="24"/>
        </w:rPr>
      </w:pPr>
      <w:r>
        <w:rPr>
          <w:rFonts w:cs="Arial"/>
          <w:szCs w:val="24"/>
        </w:rPr>
        <w:t>Si se realiza una revisión de los títulos que tratan sobre metodología</w:t>
      </w:r>
      <w:r w:rsidR="008E038C">
        <w:rPr>
          <w:rFonts w:cs="Arial"/>
          <w:szCs w:val="24"/>
        </w:rPr>
        <w:t>, p</w:t>
      </w:r>
      <w:r w:rsidRPr="00B758E0">
        <w:rPr>
          <w:rFonts w:cs="Arial"/>
          <w:szCs w:val="24"/>
        </w:rPr>
        <w:t xml:space="preserve">or ejemplo, entre las publicaciones que se encuentran en las bibliotecas de dos instituciones </w:t>
      </w:r>
      <w:r w:rsidRPr="00B758E0">
        <w:rPr>
          <w:rFonts w:cs="Arial"/>
          <w:szCs w:val="24"/>
        </w:rPr>
        <w:lastRenderedPageBreak/>
        <w:t xml:space="preserve">públicas de nivel superior en México: la Universidad Nacional Autónoma de México (UNAM) y el Instituto Politécnico Nacional (IPN), hay diferentes textos que presentan a la </w:t>
      </w:r>
      <w:r>
        <w:rPr>
          <w:rFonts w:cs="Arial"/>
          <w:szCs w:val="24"/>
        </w:rPr>
        <w:t xml:space="preserve">metodología </w:t>
      </w:r>
      <w:r w:rsidRPr="00B758E0">
        <w:rPr>
          <w:rFonts w:cs="Arial"/>
          <w:szCs w:val="24"/>
        </w:rPr>
        <w:t xml:space="preserve">como objeto de estudio, o por lo menos es lo que indica el título; </w:t>
      </w:r>
      <w:r w:rsidR="00AB32CA">
        <w:rPr>
          <w:rFonts w:cs="Arial"/>
          <w:szCs w:val="24"/>
        </w:rPr>
        <w:t>solo</w:t>
      </w:r>
      <w:r w:rsidRPr="00B758E0">
        <w:rPr>
          <w:rFonts w:cs="Arial"/>
          <w:szCs w:val="24"/>
        </w:rPr>
        <w:t xml:space="preserve"> en las bibliotecas de ambas instituciones se encuentran aproximadamente 100 libros</w:t>
      </w:r>
      <w:r w:rsidRPr="00B758E0">
        <w:rPr>
          <w:rFonts w:cs="Arial"/>
          <w:szCs w:val="24"/>
          <w:vertAlign w:val="superscript"/>
        </w:rPr>
        <w:footnoteReference w:id="23"/>
      </w:r>
      <w:r w:rsidRPr="00B758E0">
        <w:rPr>
          <w:rFonts w:cs="Arial"/>
          <w:szCs w:val="24"/>
        </w:rPr>
        <w:t xml:space="preserve">. Sin embargo, se observa una necesidad imperante al revisar estos trabajos y descubrir que </w:t>
      </w:r>
      <w:r>
        <w:rPr>
          <w:rFonts w:cs="Arial"/>
          <w:szCs w:val="24"/>
        </w:rPr>
        <w:t xml:space="preserve">en general la </w:t>
      </w:r>
      <w:r w:rsidRPr="00B758E0">
        <w:rPr>
          <w:rFonts w:cs="Arial"/>
          <w:szCs w:val="24"/>
        </w:rPr>
        <w:t>expo</w:t>
      </w:r>
      <w:r>
        <w:rPr>
          <w:rFonts w:cs="Arial"/>
          <w:szCs w:val="24"/>
        </w:rPr>
        <w:t>sición es de</w:t>
      </w:r>
      <w:r w:rsidRPr="00B758E0">
        <w:rPr>
          <w:rFonts w:cs="Arial"/>
          <w:szCs w:val="24"/>
        </w:rPr>
        <w:t xml:space="preserve"> diferentes métodos o técnicas de investigación, formas de elaboración de fichas, sugerencias para la redacción, etc.</w:t>
      </w:r>
      <w:r>
        <w:rPr>
          <w:rFonts w:cs="Arial"/>
          <w:szCs w:val="24"/>
        </w:rPr>
        <w:t xml:space="preserve"> Además, se nota que la mayoría corresponde a trabajos realizados desde disciplinas clasificadas dentro de las ciencias sociales y las ciencias económico-administrativas. Que evidencia la preocupación en estas áreas por abordar problemas relacionados con la metodología, y lamentablemente se resuelven con la recopilación de información de manuales de estilo publicados por la APA, Harvard, Cambridge, la FLACSO entre otras instituciones y en los mejores casos, con recuentos breves de la historia de la filosofía de la ciencia en el contexto de justificación que presentan en un inicio sin vincular siquiera con lo que consideran la investigación (el protocolo).</w:t>
      </w:r>
      <w:r w:rsidR="008E038C">
        <w:rPr>
          <w:rFonts w:cs="Arial"/>
          <w:szCs w:val="24"/>
        </w:rPr>
        <w:t xml:space="preserve"> Entonces, aquí se tiene un campo amplio de estudio en el que pueden trabajar los egresados de la MCMC y aportar desde su disciplina el trabajo metodológico.</w:t>
      </w:r>
    </w:p>
    <w:p w:rsidR="008E038C" w:rsidRDefault="008E038C" w:rsidP="00E16642">
      <w:pPr>
        <w:rPr>
          <w:rFonts w:cs="Arial"/>
          <w:szCs w:val="24"/>
        </w:rPr>
      </w:pPr>
    </w:p>
    <w:p w:rsidR="0085400D" w:rsidRDefault="00EB5CF0" w:rsidP="00E16642">
      <w:pPr>
        <w:sectPr w:rsidR="0085400D" w:rsidSect="0085400D">
          <w:headerReference w:type="default" r:id="rId45"/>
          <w:pgSz w:w="12240" w:h="15840" w:code="1"/>
          <w:pgMar w:top="1418" w:right="1701" w:bottom="1418" w:left="1701" w:header="709" w:footer="709" w:gutter="0"/>
          <w:cols w:space="708"/>
          <w:docGrid w:linePitch="360"/>
        </w:sectPr>
      </w:pPr>
      <w:r>
        <w:br w:type="page"/>
      </w:r>
    </w:p>
    <w:p w:rsidR="00DB5DA7" w:rsidRDefault="001C3F30" w:rsidP="00E16642">
      <w:pPr>
        <w:pStyle w:val="Ttulo1"/>
      </w:pPr>
      <w:bookmarkStart w:id="42" w:name="_Toc308691497"/>
      <w:r>
        <w:lastRenderedPageBreak/>
        <w:t>Anexo 1. Evaluación exter</w:t>
      </w:r>
      <w:r w:rsidR="00DB5DA7">
        <w:t>na a la MCMC por Ledesma y Arellano</w:t>
      </w:r>
      <w:bookmarkEnd w:id="42"/>
    </w:p>
    <w:p w:rsidR="001C3F30" w:rsidRDefault="001C3F30" w:rsidP="00E16642"/>
    <w:p w:rsidR="001C3F30" w:rsidRPr="0019186D" w:rsidRDefault="001C3F30" w:rsidP="00E16642">
      <w:pPr>
        <w:rPr>
          <w:rFonts w:cs="Arial"/>
          <w:sz w:val="20"/>
          <w:szCs w:val="20"/>
        </w:rPr>
      </w:pPr>
      <w:r w:rsidRPr="0019186D">
        <w:rPr>
          <w:rFonts w:cs="Arial"/>
          <w:sz w:val="20"/>
          <w:szCs w:val="20"/>
        </w:rPr>
        <w:t xml:space="preserve">A continuación se presenta </w:t>
      </w:r>
      <w:r w:rsidR="00DB5DA7">
        <w:rPr>
          <w:rFonts w:cs="Arial"/>
          <w:sz w:val="20"/>
          <w:szCs w:val="20"/>
        </w:rPr>
        <w:t xml:space="preserve">la </w:t>
      </w:r>
      <w:r w:rsidRPr="0019186D">
        <w:rPr>
          <w:rFonts w:cs="Arial"/>
          <w:sz w:val="20"/>
          <w:szCs w:val="20"/>
        </w:rPr>
        <w:t>evaluación</w:t>
      </w:r>
      <w:r w:rsidR="00DB5DA7">
        <w:rPr>
          <w:rFonts w:cs="Arial"/>
          <w:sz w:val="20"/>
          <w:szCs w:val="20"/>
        </w:rPr>
        <w:t xml:space="preserve">, solicitada al Dr. </w:t>
      </w:r>
      <w:r w:rsidR="00DB5DA7" w:rsidRPr="00DB5DA7">
        <w:rPr>
          <w:rFonts w:cs="Arial"/>
          <w:sz w:val="20"/>
          <w:szCs w:val="20"/>
        </w:rPr>
        <w:t xml:space="preserve">Ismael Ledesma Mateos de la FES Iztacala de la UNAM y el Dr. Antonio Arellano Hernández de la Facultad de Ciencias Políticas y Administración Pública de la UAEM </w:t>
      </w:r>
      <w:r w:rsidRPr="0019186D">
        <w:rPr>
          <w:rFonts w:cs="Arial"/>
          <w:sz w:val="20"/>
          <w:szCs w:val="20"/>
        </w:rPr>
        <w:t>con algunos comentarios al respecto marcados en cursivas.</w:t>
      </w:r>
      <w:r w:rsidR="00DB5DA7" w:rsidRPr="00DB5DA7">
        <w:t xml:space="preserve"> </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Cuadro 1. Objetos y aspectos de análisis evaluación 2002.</w:t>
      </w:r>
    </w:p>
    <w:tbl>
      <w:tblPr>
        <w:tblStyle w:val="Tablaconcuadrcula"/>
        <w:tblW w:w="0" w:type="auto"/>
        <w:tblLook w:val="04A0" w:firstRow="1" w:lastRow="0" w:firstColumn="1" w:lastColumn="0" w:noHBand="0" w:noVBand="1"/>
      </w:tblPr>
      <w:tblGrid>
        <w:gridCol w:w="4322"/>
        <w:gridCol w:w="4322"/>
      </w:tblGrid>
      <w:tr w:rsidR="001C3F30" w:rsidRPr="009A42E3" w:rsidTr="009A42E3">
        <w:tc>
          <w:tcPr>
            <w:tcW w:w="4322" w:type="dxa"/>
            <w:vAlign w:val="center"/>
          </w:tcPr>
          <w:p w:rsidR="001C3F30" w:rsidRPr="009A42E3" w:rsidRDefault="001C3F30" w:rsidP="00E16642">
            <w:pPr>
              <w:jc w:val="center"/>
              <w:rPr>
                <w:rFonts w:cs="Arial"/>
                <w:b/>
                <w:sz w:val="16"/>
                <w:szCs w:val="16"/>
                <w:lang w:val="es-MX"/>
              </w:rPr>
            </w:pPr>
            <w:r w:rsidRPr="009A42E3">
              <w:rPr>
                <w:rFonts w:cs="Arial"/>
                <w:b/>
                <w:sz w:val="16"/>
                <w:szCs w:val="16"/>
                <w:lang w:val="es-MX"/>
              </w:rPr>
              <w:t>Objetos de análisis:</w:t>
            </w:r>
          </w:p>
        </w:tc>
        <w:tc>
          <w:tcPr>
            <w:tcW w:w="4322" w:type="dxa"/>
            <w:vAlign w:val="center"/>
          </w:tcPr>
          <w:p w:rsidR="001C3F30" w:rsidRPr="009A42E3" w:rsidRDefault="001C3F30" w:rsidP="00E16642">
            <w:pPr>
              <w:jc w:val="center"/>
              <w:rPr>
                <w:rFonts w:cs="Arial"/>
                <w:b/>
                <w:sz w:val="16"/>
                <w:szCs w:val="16"/>
                <w:lang w:val="es-MX"/>
              </w:rPr>
            </w:pPr>
            <w:r w:rsidRPr="009A42E3">
              <w:rPr>
                <w:rFonts w:cs="Arial"/>
                <w:b/>
                <w:sz w:val="16"/>
                <w:szCs w:val="16"/>
                <w:lang w:val="es-MX"/>
              </w:rPr>
              <w:t>Aspectos de análisis:</w:t>
            </w:r>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r w:rsidRPr="009A42E3">
              <w:rPr>
                <w:rFonts w:cs="Arial"/>
                <w:sz w:val="16"/>
                <w:szCs w:val="16"/>
                <w:lang w:val="es-MX"/>
              </w:rPr>
              <w:t>Maestría</w:t>
            </w:r>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Logros</w:t>
            </w:r>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r w:rsidRPr="009A42E3">
              <w:rPr>
                <w:rFonts w:cs="Arial"/>
                <w:sz w:val="16"/>
                <w:szCs w:val="16"/>
                <w:lang w:val="es-MX"/>
              </w:rPr>
              <w:t>Programa</w:t>
            </w:r>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Pertinencia y actualidad</w:t>
            </w:r>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proofErr w:type="spellStart"/>
            <w:r w:rsidRPr="009A42E3">
              <w:rPr>
                <w:rFonts w:cs="Arial"/>
                <w:sz w:val="16"/>
                <w:szCs w:val="16"/>
                <w:lang w:val="es-MX"/>
              </w:rPr>
              <w:t>Currícula</w:t>
            </w:r>
            <w:proofErr w:type="spellEnd"/>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Pertinencia y coherencia</w:t>
            </w:r>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r w:rsidRPr="009A42E3">
              <w:rPr>
                <w:rFonts w:cs="Arial"/>
                <w:sz w:val="16"/>
                <w:szCs w:val="16"/>
                <w:lang w:val="es-MX"/>
              </w:rPr>
              <w:t>Programas actualizados por el PESTYC</w:t>
            </w:r>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 xml:space="preserve">Actualización y aspectos </w:t>
            </w:r>
            <w:proofErr w:type="spellStart"/>
            <w:r w:rsidRPr="009A42E3">
              <w:rPr>
                <w:rFonts w:cs="Arial"/>
                <w:sz w:val="16"/>
                <w:szCs w:val="16"/>
                <w:lang w:val="es-MX"/>
              </w:rPr>
              <w:t>bibliométricos</w:t>
            </w:r>
            <w:proofErr w:type="spellEnd"/>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r w:rsidRPr="009A42E3">
              <w:rPr>
                <w:rFonts w:cs="Arial"/>
                <w:sz w:val="16"/>
                <w:szCs w:val="16"/>
                <w:lang w:val="es-MX"/>
              </w:rPr>
              <w:t>Líneas de investigación</w:t>
            </w:r>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 xml:space="preserve">Coherencia entre líneas de investigación y </w:t>
            </w:r>
            <w:proofErr w:type="spellStart"/>
            <w:r w:rsidRPr="009A42E3">
              <w:rPr>
                <w:rFonts w:cs="Arial"/>
                <w:sz w:val="16"/>
                <w:szCs w:val="16"/>
                <w:lang w:val="es-MX"/>
              </w:rPr>
              <w:t>currícula</w:t>
            </w:r>
            <w:proofErr w:type="spellEnd"/>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r w:rsidRPr="009A42E3">
              <w:rPr>
                <w:rFonts w:cs="Arial"/>
                <w:sz w:val="16"/>
                <w:szCs w:val="16"/>
                <w:lang w:val="es-MX"/>
              </w:rPr>
              <w:t>Planta profesoral</w:t>
            </w:r>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Función docente y producción científica</w:t>
            </w:r>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r w:rsidRPr="009A42E3">
              <w:rPr>
                <w:rFonts w:cs="Arial"/>
                <w:sz w:val="16"/>
                <w:szCs w:val="16"/>
                <w:lang w:val="es-MX"/>
              </w:rPr>
              <w:t>Tesis</w:t>
            </w:r>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Calidad</w:t>
            </w:r>
          </w:p>
        </w:tc>
      </w:tr>
      <w:tr w:rsidR="001C3F30" w:rsidRPr="009A42E3" w:rsidTr="009A42E3">
        <w:tc>
          <w:tcPr>
            <w:tcW w:w="4322" w:type="dxa"/>
            <w:vAlign w:val="center"/>
          </w:tcPr>
          <w:p w:rsidR="001C3F30" w:rsidRPr="009A42E3" w:rsidRDefault="001C3F30" w:rsidP="00E16642">
            <w:pPr>
              <w:jc w:val="left"/>
              <w:rPr>
                <w:rFonts w:cs="Arial"/>
                <w:sz w:val="16"/>
                <w:szCs w:val="16"/>
                <w:lang w:val="es-MX"/>
              </w:rPr>
            </w:pPr>
            <w:r w:rsidRPr="009A42E3">
              <w:rPr>
                <w:rFonts w:cs="Arial"/>
                <w:sz w:val="16"/>
                <w:szCs w:val="16"/>
                <w:lang w:val="es-MX"/>
              </w:rPr>
              <w:t>Planta estudiantil</w:t>
            </w:r>
          </w:p>
        </w:tc>
        <w:tc>
          <w:tcPr>
            <w:tcW w:w="4322" w:type="dxa"/>
            <w:vAlign w:val="center"/>
          </w:tcPr>
          <w:p w:rsidR="001C3F30" w:rsidRPr="009A42E3" w:rsidRDefault="001C3F30" w:rsidP="00E16642">
            <w:pPr>
              <w:pStyle w:val="Prrafodelista"/>
              <w:numPr>
                <w:ilvl w:val="0"/>
                <w:numId w:val="15"/>
              </w:numPr>
              <w:jc w:val="left"/>
              <w:rPr>
                <w:rFonts w:cs="Arial"/>
                <w:sz w:val="16"/>
                <w:szCs w:val="16"/>
                <w:lang w:val="es-MX"/>
              </w:rPr>
            </w:pPr>
            <w:r w:rsidRPr="009A42E3">
              <w:rPr>
                <w:rFonts w:cs="Arial"/>
                <w:sz w:val="16"/>
                <w:szCs w:val="16"/>
                <w:lang w:val="es-MX"/>
              </w:rPr>
              <w:t>Indicadores del desempeño</w:t>
            </w:r>
          </w:p>
        </w:tc>
      </w:tr>
    </w:tbl>
    <w:p w:rsidR="001C3F30" w:rsidRDefault="001C3F30" w:rsidP="00E16642">
      <w:pPr>
        <w:rPr>
          <w:rFonts w:cs="Arial"/>
          <w:sz w:val="20"/>
          <w:szCs w:val="20"/>
        </w:rPr>
      </w:pPr>
      <w:r w:rsidRPr="0019186D">
        <w:rPr>
          <w:rFonts w:cs="Arial"/>
          <w:sz w:val="20"/>
          <w:szCs w:val="20"/>
        </w:rPr>
        <w:t xml:space="preserve">Fuente: Elaboración propia a partir de </w:t>
      </w:r>
      <w:sdt>
        <w:sdtPr>
          <w:rPr>
            <w:rFonts w:cs="Arial"/>
            <w:sz w:val="20"/>
            <w:szCs w:val="20"/>
          </w:rPr>
          <w:id w:val="5814321"/>
          <w:citation/>
        </w:sdtPr>
        <w:sdtEndPr/>
        <w:sdtContent>
          <w:r w:rsidR="0072146B" w:rsidRPr="0019186D">
            <w:rPr>
              <w:rFonts w:cs="Arial"/>
              <w:sz w:val="20"/>
              <w:szCs w:val="20"/>
            </w:rPr>
            <w:fldChar w:fldCharType="begin"/>
          </w:r>
          <w:r w:rsidRPr="0019186D">
            <w:rPr>
              <w:rFonts w:cs="Arial"/>
              <w:sz w:val="20"/>
              <w:szCs w:val="20"/>
            </w:rPr>
            <w:instrText xml:space="preserve"> CITATION MarcadorDePosición5 \l 2058  </w:instrText>
          </w:r>
          <w:r w:rsidR="0072146B" w:rsidRPr="0019186D">
            <w:rPr>
              <w:rFonts w:cs="Arial"/>
              <w:sz w:val="20"/>
              <w:szCs w:val="20"/>
            </w:rPr>
            <w:fldChar w:fldCharType="separate"/>
          </w:r>
          <w:r w:rsidRPr="0019186D">
            <w:rPr>
              <w:rFonts w:cs="Arial"/>
              <w:noProof/>
              <w:sz w:val="20"/>
              <w:szCs w:val="20"/>
            </w:rPr>
            <w:t>(Arellano Hernández &amp; Ledesma Mateos, Evaluación de la maestría en metodología de la ciencia, 2002)</w:t>
          </w:r>
          <w:r w:rsidR="0072146B" w:rsidRPr="0019186D">
            <w:rPr>
              <w:rFonts w:cs="Arial"/>
              <w:sz w:val="20"/>
              <w:szCs w:val="20"/>
            </w:rPr>
            <w:fldChar w:fldCharType="end"/>
          </w:r>
        </w:sdtContent>
      </w:sdt>
    </w:p>
    <w:p w:rsidR="001C3F30" w:rsidRDefault="001C3F30" w:rsidP="00E16642">
      <w:pPr>
        <w:rPr>
          <w:rFonts w:cs="Arial"/>
          <w:sz w:val="20"/>
          <w:szCs w:val="20"/>
        </w:rPr>
      </w:pPr>
    </w:p>
    <w:p w:rsidR="001C3F30" w:rsidRPr="001C3F30" w:rsidRDefault="001C3F30" w:rsidP="00E16642">
      <w:pPr>
        <w:pStyle w:val="Prrafodelista"/>
        <w:numPr>
          <w:ilvl w:val="0"/>
          <w:numId w:val="16"/>
        </w:numPr>
        <w:rPr>
          <w:rFonts w:cs="Arial"/>
          <w:b/>
          <w:sz w:val="20"/>
          <w:szCs w:val="20"/>
        </w:rPr>
      </w:pPr>
      <w:r w:rsidRPr="001C3F30">
        <w:rPr>
          <w:rFonts w:cs="Arial"/>
          <w:b/>
          <w:sz w:val="20"/>
          <w:szCs w:val="20"/>
        </w:rPr>
        <w:t>Logros de la Maestría</w:t>
      </w:r>
    </w:p>
    <w:p w:rsidR="001C3F30"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En el plano nacional la MCMC tiene</w:t>
      </w:r>
    </w:p>
    <w:p w:rsidR="001C3F30" w:rsidRPr="0019186D" w:rsidRDefault="001C3F30" w:rsidP="00E16642">
      <w:pPr>
        <w:pStyle w:val="Prrafodelista"/>
        <w:numPr>
          <w:ilvl w:val="0"/>
          <w:numId w:val="3"/>
        </w:numPr>
        <w:rPr>
          <w:rFonts w:cs="Arial"/>
          <w:sz w:val="20"/>
          <w:szCs w:val="20"/>
        </w:rPr>
      </w:pPr>
      <w:r w:rsidRPr="0019186D">
        <w:rPr>
          <w:rFonts w:cs="Arial"/>
          <w:sz w:val="20"/>
          <w:szCs w:val="20"/>
        </w:rPr>
        <w:t>Convenios educativos con múltiples instituciones nacionales.</w:t>
      </w:r>
    </w:p>
    <w:p w:rsidR="001C3F30" w:rsidRPr="0019186D" w:rsidRDefault="001C3F30" w:rsidP="00E16642">
      <w:pPr>
        <w:pStyle w:val="Prrafodelista"/>
        <w:numPr>
          <w:ilvl w:val="0"/>
          <w:numId w:val="3"/>
        </w:numPr>
        <w:rPr>
          <w:rFonts w:cs="Arial"/>
          <w:sz w:val="20"/>
          <w:szCs w:val="20"/>
        </w:rPr>
      </w:pPr>
      <w:r w:rsidRPr="0019186D">
        <w:rPr>
          <w:rFonts w:cs="Arial"/>
          <w:sz w:val="20"/>
          <w:szCs w:val="20"/>
        </w:rPr>
        <w:t>Premios en concursos académicos tanto de egresados como de profesores.</w:t>
      </w:r>
    </w:p>
    <w:p w:rsidR="001C3F30" w:rsidRPr="0019186D" w:rsidRDefault="001C3F30" w:rsidP="00E16642">
      <w:pPr>
        <w:pStyle w:val="Prrafodelista"/>
        <w:numPr>
          <w:ilvl w:val="0"/>
          <w:numId w:val="3"/>
        </w:numPr>
        <w:rPr>
          <w:rFonts w:cs="Arial"/>
          <w:sz w:val="20"/>
          <w:szCs w:val="20"/>
        </w:rPr>
      </w:pPr>
      <w:r w:rsidRPr="0019186D">
        <w:rPr>
          <w:rFonts w:cs="Arial"/>
          <w:sz w:val="20"/>
          <w:szCs w:val="20"/>
        </w:rPr>
        <w:t>Vinculación a través de cursos de capacitación y actualización, así como seminarios y asesorías metodológicas.</w:t>
      </w:r>
    </w:p>
    <w:p w:rsidR="001C3F30" w:rsidRDefault="001C3F30" w:rsidP="00E16642">
      <w:pPr>
        <w:rPr>
          <w:b/>
          <w:i/>
        </w:rPr>
      </w:pPr>
      <w:bookmarkStart w:id="43" w:name="_Toc243070771"/>
      <w:bookmarkStart w:id="44" w:name="_Toc250459189"/>
    </w:p>
    <w:p w:rsidR="001C3F30" w:rsidRPr="001C3F30" w:rsidRDefault="001C3F30" w:rsidP="00E16642">
      <w:pPr>
        <w:rPr>
          <w:b/>
          <w:i/>
          <w:sz w:val="22"/>
        </w:rPr>
      </w:pPr>
      <w:r w:rsidRPr="001C3F30">
        <w:rPr>
          <w:b/>
          <w:i/>
          <w:sz w:val="22"/>
        </w:rPr>
        <w:t>Pertinencia y actualidad del programa</w:t>
      </w:r>
      <w:bookmarkEnd w:id="43"/>
      <w:bookmarkEnd w:id="44"/>
    </w:p>
    <w:p w:rsidR="001C3F30" w:rsidRPr="0019186D" w:rsidRDefault="001C3F30" w:rsidP="00E16642">
      <w:pPr>
        <w:rPr>
          <w:rFonts w:cs="Arial"/>
          <w:sz w:val="20"/>
          <w:szCs w:val="20"/>
        </w:rPr>
      </w:pPr>
      <w:r w:rsidRPr="0019186D">
        <w:rPr>
          <w:rFonts w:cs="Arial"/>
          <w:sz w:val="20"/>
          <w:szCs w:val="20"/>
        </w:rPr>
        <w:t>PROS:</w:t>
      </w:r>
    </w:p>
    <w:p w:rsidR="001C3F30" w:rsidRPr="0019186D" w:rsidRDefault="001C3F30" w:rsidP="00E16642">
      <w:pPr>
        <w:pStyle w:val="Prrafodelista"/>
        <w:numPr>
          <w:ilvl w:val="0"/>
          <w:numId w:val="4"/>
        </w:numPr>
        <w:rPr>
          <w:rFonts w:cs="Arial"/>
          <w:sz w:val="20"/>
          <w:szCs w:val="20"/>
        </w:rPr>
      </w:pPr>
      <w:r w:rsidRPr="0019186D">
        <w:rPr>
          <w:rFonts w:cs="Arial"/>
          <w:sz w:val="20"/>
          <w:szCs w:val="20"/>
        </w:rPr>
        <w:t>Se requieren especialistas de alto nivel en temas asociados a la metodología de la ciencia,</w:t>
      </w:r>
      <w:r w:rsidRPr="0019186D">
        <w:rPr>
          <w:rFonts w:cs="Arial"/>
          <w:i/>
          <w:sz w:val="20"/>
          <w:szCs w:val="20"/>
        </w:rPr>
        <w:t xml:space="preserve"> es decir, que la pertinencia del programa era y es vigente.</w:t>
      </w:r>
    </w:p>
    <w:p w:rsidR="001C3F30" w:rsidRPr="0019186D" w:rsidRDefault="001C3F30" w:rsidP="00E16642">
      <w:pPr>
        <w:pStyle w:val="Prrafodelista"/>
        <w:numPr>
          <w:ilvl w:val="0"/>
          <w:numId w:val="4"/>
        </w:numPr>
        <w:rPr>
          <w:rFonts w:cs="Arial"/>
          <w:sz w:val="20"/>
          <w:szCs w:val="20"/>
        </w:rPr>
      </w:pPr>
      <w:r w:rsidRPr="0019186D">
        <w:rPr>
          <w:rFonts w:cs="Arial"/>
          <w:sz w:val="20"/>
          <w:szCs w:val="20"/>
        </w:rPr>
        <w:t xml:space="preserve">A nivel nacional no existen programas de maestría para la demanda de este tipo de especialistas. </w:t>
      </w:r>
      <w:r w:rsidRPr="0019186D">
        <w:rPr>
          <w:rFonts w:cs="Arial"/>
          <w:i/>
          <w:sz w:val="20"/>
          <w:szCs w:val="20"/>
        </w:rPr>
        <w:t>Actualmente es mínima la atención específica en la formación de esta materia, generalmente existen especializaciones en metodología al finalizar diferentes programas de nivel posgrado.</w:t>
      </w:r>
    </w:p>
    <w:p w:rsidR="001C3F30" w:rsidRPr="0019186D" w:rsidRDefault="001C3F30" w:rsidP="00E16642">
      <w:pPr>
        <w:pStyle w:val="Prrafodelista"/>
        <w:numPr>
          <w:ilvl w:val="0"/>
          <w:numId w:val="4"/>
        </w:numPr>
        <w:rPr>
          <w:rFonts w:cs="Arial"/>
          <w:sz w:val="20"/>
          <w:szCs w:val="20"/>
        </w:rPr>
      </w:pPr>
      <w:r w:rsidRPr="0019186D">
        <w:rPr>
          <w:rFonts w:cs="Arial"/>
          <w:sz w:val="20"/>
          <w:szCs w:val="20"/>
        </w:rPr>
        <w:t>Continúa la demanda para este programa de maestría.</w:t>
      </w:r>
    </w:p>
    <w:p w:rsidR="001C3F30" w:rsidRPr="0019186D" w:rsidRDefault="001C3F30" w:rsidP="00E16642">
      <w:pPr>
        <w:pStyle w:val="Prrafodelista"/>
        <w:numPr>
          <w:ilvl w:val="0"/>
          <w:numId w:val="4"/>
        </w:numPr>
        <w:rPr>
          <w:rFonts w:cs="Arial"/>
          <w:sz w:val="20"/>
          <w:szCs w:val="20"/>
        </w:rPr>
      </w:pPr>
      <w:r w:rsidRPr="0019186D">
        <w:rPr>
          <w:rFonts w:cs="Arial"/>
          <w:sz w:val="20"/>
          <w:szCs w:val="20"/>
        </w:rPr>
        <w:t>Existen logros palpables en la formación de maestros de este programa.</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CONTRAS:</w:t>
      </w:r>
    </w:p>
    <w:p w:rsidR="001C3F30" w:rsidRPr="0019186D" w:rsidRDefault="001C3F30" w:rsidP="00E16642">
      <w:pPr>
        <w:rPr>
          <w:rFonts w:cs="Arial"/>
          <w:b/>
          <w:sz w:val="20"/>
          <w:szCs w:val="20"/>
        </w:rPr>
      </w:pPr>
      <w:r w:rsidRPr="0019186D">
        <w:rPr>
          <w:rFonts w:cs="Arial"/>
          <w:sz w:val="20"/>
          <w:szCs w:val="20"/>
        </w:rPr>
        <w:t>No han sido debidamente abordados los nuevos métodos y técnicas de investigación,</w:t>
      </w:r>
      <w:r w:rsidRPr="0019186D">
        <w:rPr>
          <w:rFonts w:cs="Arial"/>
          <w:i/>
          <w:sz w:val="20"/>
          <w:szCs w:val="20"/>
        </w:rPr>
        <w:t xml:space="preserve"> sin embargo, los métodos y técnicas de investigación no son el único objeto de estudio de la metodología de la ciencia.</w:t>
      </w:r>
    </w:p>
    <w:p w:rsidR="001C3F30" w:rsidRPr="0019186D" w:rsidRDefault="001C3F30" w:rsidP="00E16642">
      <w:pPr>
        <w:rPr>
          <w:rFonts w:cs="Arial"/>
          <w:sz w:val="20"/>
          <w:szCs w:val="20"/>
        </w:rPr>
      </w:pPr>
    </w:p>
    <w:p w:rsidR="001C3F30" w:rsidRPr="0019186D" w:rsidRDefault="001C3F30" w:rsidP="00E16642">
      <w:pPr>
        <w:rPr>
          <w:rFonts w:cs="Arial"/>
          <w:i/>
          <w:sz w:val="20"/>
          <w:szCs w:val="20"/>
        </w:rPr>
      </w:pPr>
      <w:r w:rsidRPr="0019186D">
        <w:rPr>
          <w:rFonts w:cs="Arial"/>
          <w:sz w:val="20"/>
          <w:szCs w:val="20"/>
        </w:rPr>
        <w:t xml:space="preserve">No se toman en cuenta las discusiones sobre el tema ocurridas en las dos últimas décadas, como el “Programa fuere de la sociología de la ciencia y su influencia en la institucionalización de los estudios controversiales de la investigación; las etnologías de laboratorio y sus repercusiones en el estudio situado de la </w:t>
      </w:r>
      <w:proofErr w:type="spellStart"/>
      <w:r w:rsidRPr="0019186D">
        <w:rPr>
          <w:rFonts w:cs="Arial"/>
          <w:sz w:val="20"/>
          <w:szCs w:val="20"/>
        </w:rPr>
        <w:t>tecnociencia</w:t>
      </w:r>
      <w:proofErr w:type="spellEnd"/>
      <w:r w:rsidRPr="0019186D">
        <w:rPr>
          <w:rFonts w:cs="Arial"/>
          <w:sz w:val="20"/>
          <w:szCs w:val="20"/>
        </w:rPr>
        <w:t xml:space="preserve">; las aproximaciones </w:t>
      </w:r>
      <w:proofErr w:type="spellStart"/>
      <w:r w:rsidRPr="0019186D">
        <w:rPr>
          <w:rFonts w:cs="Arial"/>
          <w:sz w:val="20"/>
          <w:szCs w:val="20"/>
        </w:rPr>
        <w:t>etnometodológicas</w:t>
      </w:r>
      <w:proofErr w:type="spellEnd"/>
      <w:r w:rsidRPr="0019186D">
        <w:rPr>
          <w:rFonts w:cs="Arial"/>
          <w:sz w:val="20"/>
          <w:szCs w:val="20"/>
        </w:rPr>
        <w:t xml:space="preserve"> derivadas de los trabajos de Harold </w:t>
      </w:r>
      <w:proofErr w:type="spellStart"/>
      <w:r w:rsidRPr="0019186D">
        <w:rPr>
          <w:rFonts w:cs="Arial"/>
          <w:sz w:val="20"/>
          <w:szCs w:val="20"/>
        </w:rPr>
        <w:t>Garfinkel</w:t>
      </w:r>
      <w:proofErr w:type="spellEnd"/>
      <w:r w:rsidRPr="0019186D">
        <w:rPr>
          <w:rFonts w:cs="Arial"/>
          <w:sz w:val="20"/>
          <w:szCs w:val="20"/>
        </w:rPr>
        <w:t xml:space="preserve"> al estudio de la investigación científica; los trabajos de la psicología de la investigación; asimismo la epistemología contemporánea y sus manifestaciones como el relativismo epistémico y el constructivismo social”. A partir de lo anterior concluyen que aunque es necesario un espacio para la discusión de temas de metodología de la ciencia, la MCMC no propone una visión actual por haber surgido hace dos décadas con una concepción de la ciencia y la investigación específicas y sugieren una reestructuración profunda abarcando perspectivas de la epistemología, metodología, historia, antropología y sociología de la ciencia actuales en los enfoques filosóficos y de estudios sociales de la ciencia y la tecnología, en una visión multidisciplinaria</w:t>
      </w:r>
      <w:r w:rsidRPr="0019186D">
        <w:rPr>
          <w:rFonts w:cs="Arial"/>
          <w:i/>
          <w:sz w:val="20"/>
          <w:szCs w:val="20"/>
        </w:rPr>
        <w:t>, este punto deberá evaluarse constantemente durante toda la vida del programa ya que como cualquier disciplina es algo que no puede o debe estancarse.</w:t>
      </w:r>
    </w:p>
    <w:p w:rsidR="001C3F30" w:rsidRPr="0019186D" w:rsidRDefault="001C3F30" w:rsidP="00E16642">
      <w:pPr>
        <w:rPr>
          <w:rFonts w:cs="Arial"/>
          <w:b/>
          <w:sz w:val="20"/>
          <w:szCs w:val="20"/>
        </w:rPr>
      </w:pPr>
    </w:p>
    <w:p w:rsidR="001C3F30" w:rsidRPr="008F5862" w:rsidRDefault="001C3F30" w:rsidP="00E16642">
      <w:pPr>
        <w:rPr>
          <w:b/>
          <w:i/>
          <w:sz w:val="22"/>
        </w:rPr>
      </w:pPr>
      <w:bookmarkStart w:id="45" w:name="_Toc243070772"/>
      <w:bookmarkStart w:id="46" w:name="_Toc250459190"/>
      <w:r w:rsidRPr="008F5862">
        <w:rPr>
          <w:b/>
          <w:i/>
          <w:sz w:val="22"/>
        </w:rPr>
        <w:t xml:space="preserve">Pertinencia y coherencia de la </w:t>
      </w:r>
      <w:proofErr w:type="spellStart"/>
      <w:r w:rsidRPr="008F5862">
        <w:rPr>
          <w:b/>
          <w:i/>
          <w:sz w:val="22"/>
        </w:rPr>
        <w:t>currícula</w:t>
      </w:r>
      <w:proofErr w:type="spellEnd"/>
      <w:r w:rsidRPr="008F5862">
        <w:rPr>
          <w:b/>
          <w:i/>
          <w:sz w:val="22"/>
        </w:rPr>
        <w:t>.</w:t>
      </w:r>
      <w:bookmarkEnd w:id="45"/>
      <w:bookmarkEnd w:id="46"/>
    </w:p>
    <w:p w:rsidR="001C3F30" w:rsidRPr="0019186D" w:rsidRDefault="001C3F30" w:rsidP="00E16642">
      <w:pPr>
        <w:rPr>
          <w:rFonts w:cs="Arial"/>
          <w:sz w:val="20"/>
          <w:szCs w:val="20"/>
        </w:rPr>
      </w:pPr>
      <w:r w:rsidRPr="0019186D">
        <w:rPr>
          <w:rFonts w:cs="Arial"/>
          <w:i/>
          <w:sz w:val="20"/>
          <w:szCs w:val="20"/>
        </w:rPr>
        <w:t xml:space="preserve">La </w:t>
      </w:r>
      <w:proofErr w:type="spellStart"/>
      <w:r w:rsidRPr="0019186D">
        <w:rPr>
          <w:rFonts w:cs="Arial"/>
          <w:i/>
          <w:sz w:val="20"/>
          <w:szCs w:val="20"/>
        </w:rPr>
        <w:t>currícula</w:t>
      </w:r>
      <w:proofErr w:type="spellEnd"/>
      <w:r w:rsidRPr="0019186D">
        <w:rPr>
          <w:rFonts w:cs="Arial"/>
          <w:i/>
          <w:sz w:val="20"/>
          <w:szCs w:val="20"/>
        </w:rPr>
        <w:t xml:space="preserve"> de la MCMC ha sido transformada en diferentes ocasiones, se presenta lo que en ese año fue analizado, porque más allá de la estructura que tenían los programas se realiza una crítica respecto a la coherencia de ésta con los objetivos. </w:t>
      </w:r>
      <w:r w:rsidRPr="0019186D">
        <w:rPr>
          <w:rFonts w:cs="Arial"/>
          <w:sz w:val="20"/>
          <w:szCs w:val="20"/>
        </w:rPr>
        <w:t>Se cuenta con 20 asignaturas:</w:t>
      </w:r>
    </w:p>
    <w:p w:rsidR="001C3F30" w:rsidRPr="0019186D" w:rsidRDefault="001C3F30" w:rsidP="00E16642">
      <w:pPr>
        <w:ind w:left="708"/>
        <w:rPr>
          <w:rFonts w:cs="Arial"/>
          <w:sz w:val="20"/>
          <w:szCs w:val="20"/>
        </w:rPr>
      </w:pPr>
      <w:r w:rsidRPr="0019186D">
        <w:rPr>
          <w:rFonts w:cs="Arial"/>
          <w:sz w:val="20"/>
          <w:szCs w:val="20"/>
        </w:rPr>
        <w:t xml:space="preserve">-10 son cursos obligatorios, </w:t>
      </w:r>
    </w:p>
    <w:p w:rsidR="001C3F30" w:rsidRPr="0019186D" w:rsidRDefault="001C3F30" w:rsidP="00E16642">
      <w:pPr>
        <w:ind w:left="708"/>
        <w:rPr>
          <w:rFonts w:cs="Arial"/>
          <w:sz w:val="20"/>
          <w:szCs w:val="20"/>
        </w:rPr>
      </w:pPr>
      <w:r w:rsidRPr="0019186D">
        <w:rPr>
          <w:rFonts w:cs="Arial"/>
          <w:sz w:val="20"/>
          <w:szCs w:val="20"/>
        </w:rPr>
        <w:t xml:space="preserve">-tres optativos, </w:t>
      </w:r>
    </w:p>
    <w:p w:rsidR="001C3F30" w:rsidRPr="0019186D" w:rsidRDefault="001C3F30" w:rsidP="00E16642">
      <w:pPr>
        <w:ind w:left="708"/>
        <w:rPr>
          <w:rFonts w:cs="Arial"/>
          <w:sz w:val="20"/>
          <w:szCs w:val="20"/>
        </w:rPr>
      </w:pPr>
      <w:r w:rsidRPr="0019186D">
        <w:rPr>
          <w:rFonts w:cs="Arial"/>
          <w:sz w:val="20"/>
          <w:szCs w:val="20"/>
        </w:rPr>
        <w:t>-cuatro seminarios departamentales,</w:t>
      </w:r>
    </w:p>
    <w:p w:rsidR="001C3F30" w:rsidRPr="0019186D" w:rsidRDefault="001C3F30" w:rsidP="00E16642">
      <w:pPr>
        <w:ind w:left="708"/>
        <w:rPr>
          <w:rFonts w:cs="Arial"/>
          <w:sz w:val="20"/>
          <w:szCs w:val="20"/>
        </w:rPr>
      </w:pPr>
      <w:r w:rsidRPr="0019186D">
        <w:rPr>
          <w:rFonts w:cs="Arial"/>
          <w:sz w:val="20"/>
          <w:szCs w:val="20"/>
        </w:rPr>
        <w:t>-tres seminarios de tesis.</w:t>
      </w:r>
    </w:p>
    <w:p w:rsidR="001C3F30" w:rsidRPr="0019186D" w:rsidRDefault="001C3F30" w:rsidP="00E16642">
      <w:pPr>
        <w:ind w:left="708"/>
        <w:rPr>
          <w:rFonts w:cs="Arial"/>
          <w:sz w:val="20"/>
          <w:szCs w:val="20"/>
        </w:rPr>
      </w:pPr>
      <w:r w:rsidRPr="0019186D">
        <w:rPr>
          <w:rFonts w:cs="Arial"/>
          <w:sz w:val="20"/>
          <w:szCs w:val="20"/>
        </w:rPr>
        <w:t>Además de la defensa pública de la tesis.</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En porcentaje de las asignaturas se puede expresar:</w:t>
      </w:r>
    </w:p>
    <w:p w:rsidR="001C3F30" w:rsidRPr="0019186D" w:rsidRDefault="001C3F30" w:rsidP="00E16642">
      <w:pPr>
        <w:pStyle w:val="Prrafodelista"/>
        <w:numPr>
          <w:ilvl w:val="0"/>
          <w:numId w:val="4"/>
        </w:numPr>
        <w:ind w:left="993"/>
        <w:rPr>
          <w:rFonts w:cs="Arial"/>
          <w:sz w:val="20"/>
          <w:szCs w:val="20"/>
        </w:rPr>
      </w:pPr>
      <w:r w:rsidRPr="0019186D">
        <w:rPr>
          <w:rFonts w:cs="Arial"/>
          <w:sz w:val="20"/>
          <w:szCs w:val="20"/>
        </w:rPr>
        <w:t>36% de metodología, diseño de experimentos y técnicas,</w:t>
      </w:r>
    </w:p>
    <w:p w:rsidR="001C3F30" w:rsidRPr="0019186D" w:rsidRDefault="001C3F30" w:rsidP="00E16642">
      <w:pPr>
        <w:pStyle w:val="Prrafodelista"/>
        <w:numPr>
          <w:ilvl w:val="0"/>
          <w:numId w:val="4"/>
        </w:numPr>
        <w:ind w:left="993"/>
        <w:rPr>
          <w:rFonts w:cs="Arial"/>
          <w:sz w:val="20"/>
          <w:szCs w:val="20"/>
        </w:rPr>
      </w:pPr>
      <w:r w:rsidRPr="0019186D">
        <w:rPr>
          <w:rFonts w:cs="Arial"/>
          <w:sz w:val="20"/>
          <w:szCs w:val="20"/>
        </w:rPr>
        <w:t>31% seminarios de formación en investigación.</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Los créditos son 82:</w:t>
      </w:r>
    </w:p>
    <w:p w:rsidR="001C3F30" w:rsidRPr="0019186D" w:rsidRDefault="001C3F30" w:rsidP="00E16642">
      <w:pPr>
        <w:ind w:left="708"/>
        <w:rPr>
          <w:rFonts w:cs="Arial"/>
          <w:sz w:val="20"/>
          <w:szCs w:val="20"/>
        </w:rPr>
      </w:pPr>
      <w:r w:rsidRPr="0019186D">
        <w:rPr>
          <w:rFonts w:cs="Arial"/>
          <w:sz w:val="20"/>
          <w:szCs w:val="20"/>
        </w:rPr>
        <w:t>-52 son cursos escolarizados;</w:t>
      </w:r>
    </w:p>
    <w:p w:rsidR="001C3F30" w:rsidRPr="0019186D" w:rsidRDefault="001C3F30" w:rsidP="00E16642">
      <w:pPr>
        <w:ind w:left="708"/>
        <w:rPr>
          <w:rFonts w:cs="Arial"/>
          <w:sz w:val="20"/>
          <w:szCs w:val="20"/>
        </w:rPr>
      </w:pPr>
      <w:r w:rsidRPr="0019186D">
        <w:rPr>
          <w:rFonts w:cs="Arial"/>
          <w:sz w:val="20"/>
          <w:szCs w:val="20"/>
        </w:rPr>
        <w:lastRenderedPageBreak/>
        <w:tab/>
        <w:t>-40 obligatorios,</w:t>
      </w:r>
    </w:p>
    <w:p w:rsidR="001C3F30" w:rsidRPr="0019186D" w:rsidRDefault="001C3F30" w:rsidP="00E16642">
      <w:pPr>
        <w:ind w:left="708"/>
        <w:rPr>
          <w:rFonts w:cs="Arial"/>
          <w:sz w:val="20"/>
          <w:szCs w:val="20"/>
        </w:rPr>
      </w:pPr>
      <w:r w:rsidRPr="0019186D">
        <w:rPr>
          <w:rFonts w:cs="Arial"/>
          <w:sz w:val="20"/>
          <w:szCs w:val="20"/>
        </w:rPr>
        <w:tab/>
        <w:t>-12 optativos,</w:t>
      </w:r>
    </w:p>
    <w:p w:rsidR="001C3F30" w:rsidRPr="0019186D" w:rsidRDefault="001C3F30" w:rsidP="00E16642">
      <w:pPr>
        <w:ind w:left="708"/>
        <w:rPr>
          <w:rFonts w:cs="Arial"/>
          <w:sz w:val="20"/>
          <w:szCs w:val="20"/>
        </w:rPr>
      </w:pPr>
      <w:r w:rsidRPr="0019186D">
        <w:rPr>
          <w:rFonts w:cs="Arial"/>
          <w:sz w:val="20"/>
          <w:szCs w:val="20"/>
        </w:rPr>
        <w:t>-14 son de seminarios;</w:t>
      </w:r>
    </w:p>
    <w:p w:rsidR="001C3F30" w:rsidRPr="0019186D" w:rsidRDefault="001C3F30" w:rsidP="00E16642">
      <w:pPr>
        <w:ind w:left="708"/>
        <w:rPr>
          <w:rFonts w:cs="Arial"/>
          <w:sz w:val="20"/>
          <w:szCs w:val="20"/>
        </w:rPr>
      </w:pPr>
      <w:r w:rsidRPr="0019186D">
        <w:rPr>
          <w:rFonts w:cs="Arial"/>
          <w:sz w:val="20"/>
          <w:szCs w:val="20"/>
        </w:rPr>
        <w:t>-16 de la tesis y el examen final.</w:t>
      </w:r>
    </w:p>
    <w:p w:rsidR="001C3F30" w:rsidRPr="0019186D" w:rsidRDefault="001C3F30" w:rsidP="00E16642">
      <w:pPr>
        <w:rPr>
          <w:rFonts w:cs="Arial"/>
          <w:sz w:val="20"/>
          <w:szCs w:val="20"/>
        </w:rPr>
      </w:pPr>
    </w:p>
    <w:p w:rsidR="001C3F30" w:rsidRPr="0019186D" w:rsidRDefault="001C3F30" w:rsidP="00E16642">
      <w:pPr>
        <w:rPr>
          <w:rFonts w:cs="Arial"/>
          <w:i/>
          <w:sz w:val="20"/>
          <w:szCs w:val="20"/>
        </w:rPr>
      </w:pPr>
      <w:r w:rsidRPr="0019186D">
        <w:rPr>
          <w:rFonts w:cs="Arial"/>
          <w:sz w:val="20"/>
          <w:szCs w:val="20"/>
        </w:rPr>
        <w:t xml:space="preserve">Sobre la carga académica en versión escolarizada se critica el anacronismo de la </w:t>
      </w:r>
      <w:proofErr w:type="spellStart"/>
      <w:r w:rsidRPr="0019186D">
        <w:rPr>
          <w:rFonts w:cs="Arial"/>
          <w:sz w:val="20"/>
          <w:szCs w:val="20"/>
        </w:rPr>
        <w:t>currícula</w:t>
      </w:r>
      <w:proofErr w:type="spellEnd"/>
      <w:r w:rsidRPr="0019186D">
        <w:rPr>
          <w:rFonts w:cs="Arial"/>
          <w:sz w:val="20"/>
          <w:szCs w:val="20"/>
        </w:rPr>
        <w:t xml:space="preserve"> y proponen que ésta debería tomar un papel de reforzamiento, de esta manera los maestrantes podrían tomar cursos formativos de disciplinas específicas, que se adecuen al tema de investigación en establecimientos diversos tanto del IPN como de otras entidades. </w:t>
      </w:r>
      <w:r w:rsidRPr="0019186D">
        <w:rPr>
          <w:rFonts w:cs="Arial"/>
          <w:i/>
          <w:sz w:val="20"/>
          <w:szCs w:val="20"/>
        </w:rPr>
        <w:t xml:space="preserve">Es importante resaltar en este momento que se ha debatido constantemente la formación que se les da a los estudiantes, se ha propuesto que </w:t>
      </w:r>
      <w:r w:rsidR="00AB32CA">
        <w:rPr>
          <w:rFonts w:cs="Arial"/>
          <w:i/>
          <w:sz w:val="20"/>
          <w:szCs w:val="20"/>
        </w:rPr>
        <w:t>solo</w:t>
      </w:r>
      <w:r w:rsidRPr="0019186D">
        <w:rPr>
          <w:rFonts w:cs="Arial"/>
          <w:i/>
          <w:sz w:val="20"/>
          <w:szCs w:val="20"/>
        </w:rPr>
        <w:t xml:space="preserve"> deben profundizar en aspectos metodológicos, filosóficos, etc. de la disciplina que tienen como base; aunque en la práctica al parecer los alumnos eligen con un criterio que va más allá de su formación base.</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Las vertientes de la MCMC son tres:</w:t>
      </w:r>
    </w:p>
    <w:p w:rsidR="001C3F30" w:rsidRPr="0019186D" w:rsidRDefault="001C3F30" w:rsidP="00E16642">
      <w:pPr>
        <w:pStyle w:val="Prrafodelista"/>
        <w:numPr>
          <w:ilvl w:val="0"/>
          <w:numId w:val="4"/>
        </w:numPr>
        <w:rPr>
          <w:rFonts w:cs="Arial"/>
          <w:sz w:val="20"/>
          <w:szCs w:val="20"/>
        </w:rPr>
      </w:pPr>
      <w:r w:rsidRPr="0019186D">
        <w:rPr>
          <w:rFonts w:cs="Arial"/>
          <w:sz w:val="20"/>
          <w:szCs w:val="20"/>
        </w:rPr>
        <w:t>Metodología: métodos heurísticos y lógica matemática; métodos discursivos y métodos de comprobación, que cuenta con un 70%</w:t>
      </w:r>
    </w:p>
    <w:p w:rsidR="001C3F30" w:rsidRPr="0019186D" w:rsidRDefault="001C3F30" w:rsidP="00E16642">
      <w:pPr>
        <w:pStyle w:val="Prrafodelista"/>
        <w:numPr>
          <w:ilvl w:val="0"/>
          <w:numId w:val="4"/>
        </w:numPr>
        <w:rPr>
          <w:rFonts w:cs="Arial"/>
          <w:sz w:val="20"/>
          <w:szCs w:val="20"/>
        </w:rPr>
      </w:pPr>
      <w:r w:rsidRPr="0019186D">
        <w:rPr>
          <w:rFonts w:cs="Arial"/>
          <w:sz w:val="20"/>
          <w:szCs w:val="20"/>
        </w:rPr>
        <w:t>Historia de la ciencia, con un 15%</w:t>
      </w:r>
    </w:p>
    <w:p w:rsidR="001C3F30" w:rsidRPr="0019186D" w:rsidRDefault="001C3F30" w:rsidP="00E16642">
      <w:pPr>
        <w:pStyle w:val="Prrafodelista"/>
        <w:numPr>
          <w:ilvl w:val="0"/>
          <w:numId w:val="4"/>
        </w:numPr>
        <w:rPr>
          <w:rFonts w:cs="Arial"/>
          <w:sz w:val="20"/>
          <w:szCs w:val="20"/>
        </w:rPr>
      </w:pPr>
      <w:r w:rsidRPr="0019186D">
        <w:rPr>
          <w:rFonts w:cs="Arial"/>
          <w:sz w:val="20"/>
          <w:szCs w:val="20"/>
        </w:rPr>
        <w:t xml:space="preserve">Filosofía de la ciencia: fundamentos de ciertas disciplinas tales como física, ciencias sociales, matemáticas, biología y tecnología, con </w:t>
      </w:r>
      <w:r w:rsidR="00AB32CA">
        <w:rPr>
          <w:rFonts w:cs="Arial"/>
          <w:sz w:val="20"/>
          <w:szCs w:val="20"/>
        </w:rPr>
        <w:t>solo</w:t>
      </w:r>
      <w:r w:rsidRPr="0019186D">
        <w:rPr>
          <w:rFonts w:cs="Arial"/>
          <w:sz w:val="20"/>
          <w:szCs w:val="20"/>
        </w:rPr>
        <w:t xml:space="preserve"> 5%</w:t>
      </w:r>
    </w:p>
    <w:p w:rsidR="001C3F30" w:rsidRPr="0019186D" w:rsidRDefault="001C3F30" w:rsidP="00E16642">
      <w:pPr>
        <w:rPr>
          <w:rFonts w:cs="Arial"/>
          <w:sz w:val="20"/>
          <w:szCs w:val="20"/>
        </w:rPr>
      </w:pPr>
    </w:p>
    <w:p w:rsidR="001C3F30" w:rsidRPr="0019186D" w:rsidRDefault="001C3F30" w:rsidP="00E16642">
      <w:pPr>
        <w:rPr>
          <w:rFonts w:cs="Arial"/>
          <w:b/>
          <w:sz w:val="20"/>
          <w:szCs w:val="20"/>
        </w:rPr>
      </w:pPr>
      <w:r w:rsidRPr="0019186D">
        <w:rPr>
          <w:rFonts w:cs="Arial"/>
          <w:sz w:val="20"/>
          <w:szCs w:val="20"/>
        </w:rPr>
        <w:t xml:space="preserve">Respecto a las vertientes y su porcentaje, los autores interpretan que existe congruencia en cuanto a la formación en métodos representada por el 70% mencionado, pero sugieren que ello no significa “alta coherencia” ya que la formación en Fundamentos de las ciencias, desvía la atención en la formación de metodología de la investigación. </w:t>
      </w:r>
      <w:r w:rsidRPr="0019186D">
        <w:rPr>
          <w:rFonts w:cs="Arial"/>
          <w:i/>
          <w:sz w:val="20"/>
          <w:szCs w:val="20"/>
        </w:rPr>
        <w:t>Sin embargo, los autores están limitando la MCMC a la enseñanza de la metodología de la investigación y no a la metodología de la ciencia, título que expide al concluir el programa, quizá deba explorarse el porqué de esta carga.</w:t>
      </w:r>
    </w:p>
    <w:p w:rsidR="001C3F30" w:rsidRPr="0019186D" w:rsidRDefault="001C3F30" w:rsidP="00E16642">
      <w:pPr>
        <w:rPr>
          <w:rFonts w:cs="Arial"/>
          <w:b/>
          <w:sz w:val="20"/>
          <w:szCs w:val="20"/>
        </w:rPr>
      </w:pPr>
    </w:p>
    <w:p w:rsidR="001C3F30" w:rsidRPr="008F5862" w:rsidRDefault="001C3F30" w:rsidP="00E16642">
      <w:pPr>
        <w:rPr>
          <w:b/>
          <w:sz w:val="22"/>
        </w:rPr>
      </w:pPr>
      <w:bookmarkStart w:id="47" w:name="_Toc243070773"/>
      <w:bookmarkStart w:id="48" w:name="_Toc250459191"/>
      <w:r w:rsidRPr="008F5862">
        <w:rPr>
          <w:b/>
          <w:sz w:val="22"/>
        </w:rPr>
        <w:t xml:space="preserve">Coherencia entre líneas de investigación y </w:t>
      </w:r>
      <w:proofErr w:type="spellStart"/>
      <w:r w:rsidRPr="008F5862">
        <w:rPr>
          <w:b/>
          <w:sz w:val="22"/>
        </w:rPr>
        <w:t>currícula</w:t>
      </w:r>
      <w:bookmarkEnd w:id="47"/>
      <w:bookmarkEnd w:id="48"/>
      <w:proofErr w:type="spellEnd"/>
    </w:p>
    <w:p w:rsidR="001C3F30" w:rsidRPr="0019186D" w:rsidRDefault="001C3F30" w:rsidP="00E16642">
      <w:pPr>
        <w:rPr>
          <w:rFonts w:cs="Arial"/>
          <w:sz w:val="20"/>
          <w:szCs w:val="20"/>
        </w:rPr>
      </w:pPr>
      <w:r w:rsidRPr="0019186D">
        <w:rPr>
          <w:rFonts w:cs="Arial"/>
          <w:sz w:val="20"/>
          <w:szCs w:val="20"/>
        </w:rPr>
        <w:t>Reportan tres tipologías diferentes encontradas de las líneas de investigación:</w:t>
      </w:r>
    </w:p>
    <w:p w:rsidR="001C3F30" w:rsidRPr="0019186D" w:rsidRDefault="001C3F30" w:rsidP="00E16642">
      <w:pPr>
        <w:pStyle w:val="Prrafodelista"/>
        <w:numPr>
          <w:ilvl w:val="0"/>
          <w:numId w:val="7"/>
        </w:numPr>
        <w:rPr>
          <w:rFonts w:cs="Arial"/>
          <w:sz w:val="20"/>
          <w:szCs w:val="20"/>
        </w:rPr>
      </w:pPr>
      <w:r w:rsidRPr="0019186D">
        <w:rPr>
          <w:rFonts w:cs="Arial"/>
          <w:sz w:val="20"/>
          <w:szCs w:val="20"/>
        </w:rPr>
        <w:t>Folleto explicativo de la MCMC que se tenía entonces indica:</w:t>
      </w:r>
    </w:p>
    <w:p w:rsidR="001C3F30" w:rsidRPr="0019186D" w:rsidRDefault="001C3F30" w:rsidP="00E16642">
      <w:pPr>
        <w:pStyle w:val="Prrafodelista"/>
        <w:numPr>
          <w:ilvl w:val="1"/>
          <w:numId w:val="8"/>
        </w:numPr>
        <w:rPr>
          <w:rFonts w:cs="Arial"/>
          <w:sz w:val="20"/>
          <w:szCs w:val="20"/>
        </w:rPr>
      </w:pPr>
      <w:r w:rsidRPr="0019186D">
        <w:rPr>
          <w:rFonts w:cs="Arial"/>
          <w:sz w:val="20"/>
          <w:szCs w:val="20"/>
        </w:rPr>
        <w:t>Ciencia, Tecnología y Sociedad.</w:t>
      </w:r>
    </w:p>
    <w:p w:rsidR="001C3F30" w:rsidRPr="0019186D" w:rsidRDefault="001C3F30" w:rsidP="00E16642">
      <w:pPr>
        <w:pStyle w:val="Prrafodelista"/>
        <w:numPr>
          <w:ilvl w:val="1"/>
          <w:numId w:val="8"/>
        </w:numPr>
        <w:rPr>
          <w:rFonts w:cs="Arial"/>
          <w:sz w:val="20"/>
          <w:szCs w:val="20"/>
        </w:rPr>
      </w:pPr>
      <w:r w:rsidRPr="0019186D">
        <w:rPr>
          <w:rFonts w:cs="Arial"/>
          <w:sz w:val="20"/>
          <w:szCs w:val="20"/>
        </w:rPr>
        <w:t>Metodología para la innovación tecnológica del aparato productivo de bienes y servicios Gestión Tecnológica (sic, por la incertidumbre de si Gestión Tecnológica es una línea independiente).</w:t>
      </w:r>
    </w:p>
    <w:p w:rsidR="001C3F30" w:rsidRPr="0019186D" w:rsidRDefault="001C3F30" w:rsidP="00E16642">
      <w:pPr>
        <w:pStyle w:val="Prrafodelista"/>
        <w:numPr>
          <w:ilvl w:val="1"/>
          <w:numId w:val="8"/>
        </w:numPr>
        <w:rPr>
          <w:rFonts w:cs="Arial"/>
          <w:sz w:val="20"/>
          <w:szCs w:val="20"/>
        </w:rPr>
      </w:pPr>
      <w:r w:rsidRPr="0019186D">
        <w:rPr>
          <w:rFonts w:cs="Arial"/>
          <w:sz w:val="20"/>
          <w:szCs w:val="20"/>
        </w:rPr>
        <w:t>Metodologías para el desarrollo de la investigación científica y educativa.</w:t>
      </w:r>
    </w:p>
    <w:p w:rsidR="001C3F30" w:rsidRPr="0019186D" w:rsidRDefault="001C3F30" w:rsidP="00E16642">
      <w:pPr>
        <w:pStyle w:val="Prrafodelista"/>
        <w:numPr>
          <w:ilvl w:val="0"/>
          <w:numId w:val="7"/>
        </w:numPr>
        <w:rPr>
          <w:rFonts w:cs="Arial"/>
          <w:sz w:val="20"/>
          <w:szCs w:val="20"/>
        </w:rPr>
      </w:pPr>
      <w:r w:rsidRPr="0019186D">
        <w:rPr>
          <w:rFonts w:cs="Arial"/>
          <w:sz w:val="20"/>
          <w:szCs w:val="20"/>
        </w:rPr>
        <w:lastRenderedPageBreak/>
        <w:t>En el texto “Actualización de los programas de estudio de Maestría en Ciencias en Metodología de la Ciencia, el cual plantea dos vertientes:</w:t>
      </w:r>
    </w:p>
    <w:p w:rsidR="001C3F30" w:rsidRPr="0019186D" w:rsidRDefault="001C3F30" w:rsidP="00E16642">
      <w:pPr>
        <w:pStyle w:val="Prrafodelista"/>
        <w:numPr>
          <w:ilvl w:val="1"/>
          <w:numId w:val="9"/>
        </w:numPr>
        <w:rPr>
          <w:rFonts w:cs="Arial"/>
          <w:sz w:val="20"/>
          <w:szCs w:val="20"/>
        </w:rPr>
      </w:pPr>
      <w:r w:rsidRPr="0019186D">
        <w:rPr>
          <w:rFonts w:cs="Arial"/>
          <w:sz w:val="20"/>
          <w:szCs w:val="20"/>
        </w:rPr>
        <w:t>Líneas de investigación:</w:t>
      </w:r>
    </w:p>
    <w:p w:rsidR="001C3F30" w:rsidRPr="0019186D" w:rsidRDefault="001C3F30" w:rsidP="00E16642">
      <w:pPr>
        <w:pStyle w:val="Prrafodelista"/>
        <w:numPr>
          <w:ilvl w:val="2"/>
          <w:numId w:val="10"/>
        </w:numPr>
        <w:rPr>
          <w:rFonts w:cs="Arial"/>
          <w:sz w:val="20"/>
          <w:szCs w:val="20"/>
        </w:rPr>
      </w:pPr>
      <w:r w:rsidRPr="0019186D">
        <w:rPr>
          <w:rFonts w:cs="Arial"/>
          <w:sz w:val="20"/>
          <w:szCs w:val="20"/>
        </w:rPr>
        <w:t>Historia de la ciencia y la tecnología</w:t>
      </w:r>
    </w:p>
    <w:p w:rsidR="001C3F30" w:rsidRPr="0019186D" w:rsidRDefault="001C3F30" w:rsidP="00E16642">
      <w:pPr>
        <w:pStyle w:val="Prrafodelista"/>
        <w:numPr>
          <w:ilvl w:val="2"/>
          <w:numId w:val="10"/>
        </w:numPr>
        <w:rPr>
          <w:rFonts w:cs="Arial"/>
          <w:sz w:val="20"/>
          <w:szCs w:val="20"/>
        </w:rPr>
      </w:pPr>
      <w:r w:rsidRPr="0019186D">
        <w:rPr>
          <w:rFonts w:cs="Arial"/>
          <w:sz w:val="20"/>
          <w:szCs w:val="20"/>
        </w:rPr>
        <w:t>Metodología para el desarrollo de la educación</w:t>
      </w:r>
    </w:p>
    <w:p w:rsidR="001C3F30" w:rsidRPr="0019186D" w:rsidRDefault="001C3F30" w:rsidP="00E16642">
      <w:pPr>
        <w:pStyle w:val="Prrafodelista"/>
        <w:numPr>
          <w:ilvl w:val="2"/>
          <w:numId w:val="10"/>
        </w:numPr>
        <w:rPr>
          <w:rFonts w:cs="Arial"/>
          <w:sz w:val="20"/>
          <w:szCs w:val="20"/>
        </w:rPr>
      </w:pPr>
      <w:r w:rsidRPr="0019186D">
        <w:rPr>
          <w:rFonts w:cs="Arial"/>
          <w:sz w:val="20"/>
          <w:szCs w:val="20"/>
        </w:rPr>
        <w:t>Epistemología, Ciencia, Tecnología y sociedad</w:t>
      </w:r>
    </w:p>
    <w:p w:rsidR="001C3F30" w:rsidRPr="0019186D" w:rsidRDefault="001C3F30" w:rsidP="00E16642">
      <w:pPr>
        <w:pStyle w:val="Prrafodelista"/>
        <w:numPr>
          <w:ilvl w:val="0"/>
          <w:numId w:val="12"/>
        </w:numPr>
        <w:rPr>
          <w:rFonts w:cs="Arial"/>
          <w:sz w:val="20"/>
          <w:szCs w:val="20"/>
        </w:rPr>
      </w:pPr>
      <w:r w:rsidRPr="0019186D">
        <w:rPr>
          <w:rFonts w:cs="Arial"/>
          <w:sz w:val="20"/>
          <w:szCs w:val="20"/>
        </w:rPr>
        <w:t>Grupos de Investigación de acuerdo a la orientación de los estudiantes:</w:t>
      </w:r>
    </w:p>
    <w:p w:rsidR="001C3F30" w:rsidRPr="0019186D" w:rsidRDefault="001C3F30" w:rsidP="00E16642">
      <w:pPr>
        <w:pStyle w:val="Prrafodelista"/>
        <w:numPr>
          <w:ilvl w:val="2"/>
          <w:numId w:val="11"/>
        </w:numPr>
        <w:rPr>
          <w:rFonts w:cs="Arial"/>
          <w:sz w:val="20"/>
          <w:szCs w:val="20"/>
        </w:rPr>
      </w:pPr>
      <w:r w:rsidRPr="0019186D">
        <w:rPr>
          <w:rFonts w:cs="Arial"/>
          <w:sz w:val="20"/>
          <w:szCs w:val="20"/>
        </w:rPr>
        <w:t>Historia</w:t>
      </w:r>
    </w:p>
    <w:p w:rsidR="001C3F30" w:rsidRPr="0019186D" w:rsidRDefault="001C3F30" w:rsidP="00E16642">
      <w:pPr>
        <w:pStyle w:val="Prrafodelista"/>
        <w:numPr>
          <w:ilvl w:val="2"/>
          <w:numId w:val="11"/>
        </w:numPr>
        <w:rPr>
          <w:rFonts w:cs="Arial"/>
          <w:sz w:val="20"/>
          <w:szCs w:val="20"/>
        </w:rPr>
      </w:pPr>
      <w:r w:rsidRPr="0019186D">
        <w:rPr>
          <w:rFonts w:cs="Arial"/>
          <w:sz w:val="20"/>
          <w:szCs w:val="20"/>
        </w:rPr>
        <w:t>Educación</w:t>
      </w:r>
    </w:p>
    <w:p w:rsidR="001C3F30" w:rsidRPr="0019186D" w:rsidRDefault="001C3F30" w:rsidP="00E16642">
      <w:pPr>
        <w:pStyle w:val="Prrafodelista"/>
        <w:numPr>
          <w:ilvl w:val="2"/>
          <w:numId w:val="11"/>
        </w:numPr>
        <w:rPr>
          <w:rFonts w:cs="Arial"/>
          <w:sz w:val="20"/>
          <w:szCs w:val="20"/>
        </w:rPr>
      </w:pPr>
      <w:r w:rsidRPr="0019186D">
        <w:rPr>
          <w:rFonts w:cs="Arial"/>
          <w:sz w:val="20"/>
          <w:szCs w:val="20"/>
        </w:rPr>
        <w:t>Epistemología.</w:t>
      </w:r>
    </w:p>
    <w:p w:rsidR="001C3F30" w:rsidRPr="0019186D" w:rsidRDefault="001C3F30" w:rsidP="00E16642">
      <w:pPr>
        <w:pStyle w:val="Prrafodelista"/>
        <w:numPr>
          <w:ilvl w:val="0"/>
          <w:numId w:val="7"/>
        </w:numPr>
        <w:rPr>
          <w:rFonts w:cs="Arial"/>
          <w:sz w:val="20"/>
          <w:szCs w:val="20"/>
        </w:rPr>
      </w:pPr>
      <w:r w:rsidRPr="0019186D">
        <w:rPr>
          <w:rFonts w:cs="Arial"/>
          <w:sz w:val="20"/>
          <w:szCs w:val="20"/>
        </w:rPr>
        <w:t>La Convocatoria 2001-2002 IPN-CIECAS-PESTyC: los autores dicen que se “reconocen esas líneas de investigación […] y se reafirman las orientaciones…”.</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 xml:space="preserve">Los autores consideran que no existe coherencia entre la </w:t>
      </w:r>
      <w:proofErr w:type="spellStart"/>
      <w:r w:rsidRPr="0019186D">
        <w:rPr>
          <w:rFonts w:cs="Arial"/>
          <w:sz w:val="20"/>
          <w:szCs w:val="20"/>
        </w:rPr>
        <w:t>currícula</w:t>
      </w:r>
      <w:proofErr w:type="spellEnd"/>
      <w:r w:rsidRPr="0019186D">
        <w:rPr>
          <w:rFonts w:cs="Arial"/>
          <w:sz w:val="20"/>
          <w:szCs w:val="20"/>
        </w:rPr>
        <w:t xml:space="preserve"> y las  líneas de investigación y exponen los siguientes argumentos:</w:t>
      </w:r>
    </w:p>
    <w:p w:rsidR="001C3F30" w:rsidRPr="0019186D" w:rsidRDefault="001C3F30" w:rsidP="00E16642">
      <w:pPr>
        <w:rPr>
          <w:rFonts w:cs="Arial"/>
          <w:sz w:val="20"/>
          <w:szCs w:val="20"/>
        </w:rPr>
      </w:pPr>
    </w:p>
    <w:p w:rsidR="001C3F30" w:rsidRPr="0019186D" w:rsidRDefault="001C3F30" w:rsidP="00E16642">
      <w:pPr>
        <w:pStyle w:val="Prrafodelista"/>
        <w:numPr>
          <w:ilvl w:val="0"/>
          <w:numId w:val="13"/>
        </w:numPr>
        <w:rPr>
          <w:rFonts w:cs="Arial"/>
          <w:sz w:val="20"/>
          <w:szCs w:val="20"/>
        </w:rPr>
      </w:pPr>
      <w:r w:rsidRPr="0019186D">
        <w:rPr>
          <w:rFonts w:cs="Arial"/>
          <w:sz w:val="20"/>
          <w:szCs w:val="20"/>
        </w:rPr>
        <w:t>De la línea de investigación Epistemología, ciencia, tecnología y sociedad, no hay correspondencia con las asignaturas impartidas ya que el 70% corresponde a metodología de la investigación, siendo la epistemología un tema tangencial en estas materias.</w:t>
      </w:r>
    </w:p>
    <w:p w:rsidR="001C3F30" w:rsidRPr="0019186D" w:rsidRDefault="001C3F30" w:rsidP="00E16642">
      <w:pPr>
        <w:pStyle w:val="Prrafodelista"/>
        <w:numPr>
          <w:ilvl w:val="0"/>
          <w:numId w:val="13"/>
        </w:numPr>
        <w:rPr>
          <w:rFonts w:cs="Arial"/>
          <w:sz w:val="20"/>
          <w:szCs w:val="20"/>
        </w:rPr>
      </w:pPr>
      <w:r w:rsidRPr="0019186D">
        <w:rPr>
          <w:rFonts w:cs="Arial"/>
          <w:sz w:val="20"/>
          <w:szCs w:val="20"/>
        </w:rPr>
        <w:t>De la línea de investigación Historia de la ciencia y la tecnología, el 5% de las materias que se imparten no justifica la importancia de sustentarla.</w:t>
      </w:r>
    </w:p>
    <w:p w:rsidR="001C3F30" w:rsidRPr="0019186D" w:rsidRDefault="001C3F30" w:rsidP="00E16642">
      <w:pPr>
        <w:pStyle w:val="Prrafodelista"/>
        <w:numPr>
          <w:ilvl w:val="0"/>
          <w:numId w:val="13"/>
        </w:numPr>
        <w:rPr>
          <w:rFonts w:cs="Arial"/>
          <w:sz w:val="20"/>
          <w:szCs w:val="20"/>
        </w:rPr>
      </w:pPr>
      <w:r w:rsidRPr="0019186D">
        <w:rPr>
          <w:rFonts w:cs="Arial"/>
          <w:sz w:val="20"/>
          <w:szCs w:val="20"/>
        </w:rPr>
        <w:t xml:space="preserve">De la línea Metodología para el desarrollo de la educación, no se tiene correspondencia en cuanto a la </w:t>
      </w:r>
      <w:proofErr w:type="spellStart"/>
      <w:r w:rsidRPr="0019186D">
        <w:rPr>
          <w:rFonts w:cs="Arial"/>
          <w:sz w:val="20"/>
          <w:szCs w:val="20"/>
        </w:rPr>
        <w:t>currícula</w:t>
      </w:r>
      <w:proofErr w:type="spellEnd"/>
      <w:r w:rsidRPr="0019186D">
        <w:rPr>
          <w:rFonts w:cs="Arial"/>
          <w:sz w:val="20"/>
          <w:szCs w:val="20"/>
        </w:rPr>
        <w:t>.</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Este análisis toma como punto clave la cuestión de asentamiento oficial, es decir, aunque cada profesor pudiera conformar una vertiente hacia tal o cual línea de investigación, ello no está estructurado en los contenidos de las asignaturas oficiales, y dicen que en ese sentido no se puede asegurar que la adecuación sea la requerida o la deseable.</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La crítica más puntual es sobre la línea Metodología para el desarrollo de la educación ya que la maestría está dirigía a la metodología de la ciencia y no al desarrollo de la educación, aunque justifican su presencia porque al menos el 50% de los docentes trabaja temas educacionales. Sin embargo, sugieren establecer líneas sobre la Metodología de la ciencia y sobre la Epistemología.</w:t>
      </w:r>
    </w:p>
    <w:p w:rsidR="001C3F30" w:rsidRPr="0019186D" w:rsidRDefault="001C3F30" w:rsidP="00E16642">
      <w:pPr>
        <w:rPr>
          <w:rFonts w:cs="Arial"/>
          <w:sz w:val="20"/>
          <w:szCs w:val="20"/>
        </w:rPr>
      </w:pPr>
    </w:p>
    <w:p w:rsidR="001C3F30" w:rsidRPr="008F5862" w:rsidRDefault="001C3F30" w:rsidP="00E16642">
      <w:pPr>
        <w:rPr>
          <w:b/>
          <w:sz w:val="22"/>
        </w:rPr>
      </w:pPr>
      <w:bookmarkStart w:id="49" w:name="_Toc243070774"/>
      <w:bookmarkStart w:id="50" w:name="_Toc250459192"/>
      <w:r w:rsidRPr="008F5862">
        <w:rPr>
          <w:b/>
          <w:sz w:val="22"/>
        </w:rPr>
        <w:t xml:space="preserve">Actualización y aspectos </w:t>
      </w:r>
      <w:proofErr w:type="spellStart"/>
      <w:r w:rsidRPr="008F5862">
        <w:rPr>
          <w:b/>
          <w:sz w:val="22"/>
        </w:rPr>
        <w:t>bibliométricos</w:t>
      </w:r>
      <w:proofErr w:type="spellEnd"/>
      <w:r w:rsidRPr="008F5862">
        <w:rPr>
          <w:b/>
          <w:sz w:val="22"/>
        </w:rPr>
        <w:t xml:space="preserve"> de los programas actualizados por el PESTYC.</w:t>
      </w:r>
      <w:bookmarkEnd w:id="49"/>
      <w:bookmarkEnd w:id="50"/>
    </w:p>
    <w:p w:rsidR="001C3F30" w:rsidRPr="0019186D" w:rsidRDefault="001C3F30" w:rsidP="00E16642">
      <w:pPr>
        <w:rPr>
          <w:rFonts w:cs="Arial"/>
          <w:sz w:val="20"/>
          <w:szCs w:val="20"/>
        </w:rPr>
      </w:pPr>
      <w:r w:rsidRPr="0019186D">
        <w:rPr>
          <w:rFonts w:cs="Arial"/>
          <w:sz w:val="20"/>
          <w:szCs w:val="20"/>
        </w:rPr>
        <w:t>Las materias analizadas son:</w:t>
      </w:r>
    </w:p>
    <w:p w:rsidR="001C3F30" w:rsidRPr="0019186D" w:rsidRDefault="001C3F30" w:rsidP="00E16642">
      <w:pPr>
        <w:rPr>
          <w:rFonts w:cs="Arial"/>
          <w:sz w:val="20"/>
          <w:szCs w:val="20"/>
        </w:rPr>
      </w:pPr>
      <w:r w:rsidRPr="0019186D">
        <w:rPr>
          <w:rFonts w:cs="Arial"/>
          <w:sz w:val="20"/>
          <w:szCs w:val="20"/>
        </w:rPr>
        <w:lastRenderedPageBreak/>
        <w:t>Metodología general, Métodos y técnicas de investigación documental, Historia del método científico, Métodos de investigación, Métodos de comprobación, Métodos del discurso científico, Métodos heurísticos, Filosofía de la ciencia, Seminario departamental I – IV, Seminario de tesis I –III, Fundamentos de la física, Fundamentos de las ciencias sociales, Fundamentos de la tecnología, Fundamentos de la biología, Fundamentos de las matemáticas, Aspectos metodológicos de la lógica matemática.</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Los autores indican que no se encuentran temas como la epistemología, historiografía o metodología desarrolladas en México, desarrollan 14 puntos:</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como la fenomenología (metodología cualitativa)</w:t>
      </w:r>
    </w:p>
    <w:p w:rsidR="001C3F30" w:rsidRPr="0019186D" w:rsidRDefault="001C3F30" w:rsidP="00E16642">
      <w:pPr>
        <w:pStyle w:val="Prrafodelista"/>
        <w:numPr>
          <w:ilvl w:val="0"/>
          <w:numId w:val="5"/>
        </w:numPr>
        <w:rPr>
          <w:rFonts w:cs="Arial"/>
          <w:sz w:val="20"/>
          <w:szCs w:val="20"/>
        </w:rPr>
      </w:pPr>
      <w:proofErr w:type="spellStart"/>
      <w:r w:rsidRPr="0019186D">
        <w:rPr>
          <w:rFonts w:cs="Arial"/>
          <w:sz w:val="20"/>
          <w:szCs w:val="20"/>
        </w:rPr>
        <w:t>etnometodología</w:t>
      </w:r>
      <w:proofErr w:type="spellEnd"/>
      <w:r w:rsidRPr="0019186D">
        <w:rPr>
          <w:rFonts w:cs="Arial"/>
          <w:sz w:val="20"/>
          <w:szCs w:val="20"/>
        </w:rPr>
        <w:t xml:space="preserve"> (metodología cualitativa)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relativismo epistémico (epistemología contemporánea)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constructivismo social (epistemología contemporánea)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antropología del conocimiento (disciplina)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antropología de la ciencia (disciplina)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programa fuerte de la sociología de la ciencia [SC] (disciplina)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influencia del programa fuerte de SC en la historiografía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psicología social de la ciencia y epistemología social de la ciencia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 xml:space="preserve"> hermenéutica como método de búsqueda de sentido de la acción</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 xml:space="preserve"> teorías del caos como sistemas complejos</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 xml:space="preserve"> relecturas </w:t>
      </w:r>
      <w:proofErr w:type="spellStart"/>
      <w:r w:rsidRPr="0019186D">
        <w:rPr>
          <w:rFonts w:cs="Arial"/>
          <w:sz w:val="20"/>
          <w:szCs w:val="20"/>
        </w:rPr>
        <w:t>foucaultianas</w:t>
      </w:r>
      <w:proofErr w:type="spellEnd"/>
      <w:r w:rsidRPr="0019186D">
        <w:rPr>
          <w:rFonts w:cs="Arial"/>
          <w:sz w:val="20"/>
          <w:szCs w:val="20"/>
        </w:rPr>
        <w:t xml:space="preserve"> de las formaciones discursivas y de los dispositivos caracterizadas bajo el término posestructuralismo</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 xml:space="preserve"> algunos términos clave de la semiótica</w:t>
      </w:r>
    </w:p>
    <w:p w:rsidR="001C3F30" w:rsidRPr="0019186D" w:rsidRDefault="001C3F30" w:rsidP="00E16642">
      <w:pPr>
        <w:pStyle w:val="Prrafodelista"/>
        <w:numPr>
          <w:ilvl w:val="0"/>
          <w:numId w:val="5"/>
        </w:numPr>
        <w:rPr>
          <w:rFonts w:cs="Arial"/>
          <w:sz w:val="20"/>
          <w:szCs w:val="20"/>
        </w:rPr>
      </w:pPr>
      <w:r w:rsidRPr="0019186D">
        <w:rPr>
          <w:rFonts w:cs="Arial"/>
          <w:sz w:val="20"/>
          <w:szCs w:val="20"/>
        </w:rPr>
        <w:t xml:space="preserve"> algunos términos clave de la epistemología </w:t>
      </w:r>
      <w:proofErr w:type="spellStart"/>
      <w:r w:rsidRPr="0019186D">
        <w:rPr>
          <w:rFonts w:cs="Arial"/>
          <w:sz w:val="20"/>
          <w:szCs w:val="20"/>
        </w:rPr>
        <w:t>postmarxiana</w:t>
      </w:r>
      <w:proofErr w:type="spellEnd"/>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Para los mismos catorce puntos mencionan a diferentes autores:</w:t>
      </w:r>
    </w:p>
    <w:p w:rsidR="001C3F30" w:rsidRPr="0019186D" w:rsidRDefault="001C3F30" w:rsidP="00E16642">
      <w:pPr>
        <w:pStyle w:val="Prrafodelista"/>
        <w:numPr>
          <w:ilvl w:val="0"/>
          <w:numId w:val="6"/>
        </w:numPr>
        <w:rPr>
          <w:rFonts w:cs="Arial"/>
          <w:sz w:val="20"/>
          <w:szCs w:val="20"/>
        </w:rPr>
      </w:pPr>
      <w:r w:rsidRPr="0019186D">
        <w:rPr>
          <w:rFonts w:cs="Arial"/>
          <w:sz w:val="20"/>
          <w:szCs w:val="20"/>
        </w:rPr>
        <w:t xml:space="preserve">Peter Berger y T. </w:t>
      </w:r>
      <w:proofErr w:type="spellStart"/>
      <w:r w:rsidRPr="0019186D">
        <w:rPr>
          <w:rFonts w:cs="Arial"/>
          <w:sz w:val="20"/>
          <w:szCs w:val="20"/>
        </w:rPr>
        <w:t>Luckmann</w:t>
      </w:r>
      <w:proofErr w:type="spellEnd"/>
      <w:r w:rsidRPr="0019186D">
        <w:rPr>
          <w:rFonts w:cs="Arial"/>
          <w:sz w:val="20"/>
          <w:szCs w:val="20"/>
        </w:rPr>
        <w:t xml:space="preserve">, Edmund </w:t>
      </w:r>
      <w:proofErr w:type="spellStart"/>
      <w:r w:rsidRPr="0019186D">
        <w:rPr>
          <w:rFonts w:cs="Arial"/>
          <w:sz w:val="20"/>
          <w:szCs w:val="20"/>
        </w:rPr>
        <w:t>Hurssel</w:t>
      </w:r>
      <w:proofErr w:type="spellEnd"/>
      <w:r w:rsidRPr="0019186D">
        <w:rPr>
          <w:rFonts w:cs="Arial"/>
          <w:sz w:val="20"/>
          <w:szCs w:val="20"/>
        </w:rPr>
        <w:t xml:space="preserve"> y Alfred </w:t>
      </w:r>
      <w:proofErr w:type="spellStart"/>
      <w:r w:rsidRPr="0019186D">
        <w:rPr>
          <w:rFonts w:cs="Arial"/>
          <w:sz w:val="20"/>
          <w:szCs w:val="20"/>
        </w:rPr>
        <w:t>Shutz</w:t>
      </w:r>
      <w:proofErr w:type="spellEnd"/>
    </w:p>
    <w:p w:rsidR="001C3F30" w:rsidRPr="0019186D" w:rsidRDefault="001C3F30" w:rsidP="00E16642">
      <w:pPr>
        <w:pStyle w:val="Prrafodelista"/>
        <w:numPr>
          <w:ilvl w:val="0"/>
          <w:numId w:val="6"/>
        </w:numPr>
        <w:rPr>
          <w:rFonts w:cs="Arial"/>
          <w:sz w:val="20"/>
          <w:szCs w:val="20"/>
        </w:rPr>
      </w:pPr>
      <w:r w:rsidRPr="0019186D">
        <w:rPr>
          <w:rFonts w:cs="Arial"/>
          <w:sz w:val="20"/>
          <w:szCs w:val="20"/>
        </w:rPr>
        <w:t xml:space="preserve">Harold </w:t>
      </w:r>
      <w:proofErr w:type="spellStart"/>
      <w:r w:rsidRPr="0019186D">
        <w:rPr>
          <w:rFonts w:cs="Arial"/>
          <w:sz w:val="20"/>
          <w:szCs w:val="20"/>
        </w:rPr>
        <w:t>Garfinkel</w:t>
      </w:r>
      <w:proofErr w:type="spellEnd"/>
      <w:r w:rsidRPr="0019186D">
        <w:rPr>
          <w:rFonts w:cs="Arial"/>
          <w:sz w:val="20"/>
          <w:szCs w:val="20"/>
        </w:rPr>
        <w:t xml:space="preserve"> y Michael Lynch</w:t>
      </w:r>
    </w:p>
    <w:p w:rsidR="001C3F30" w:rsidRPr="0019186D" w:rsidRDefault="001C3F30" w:rsidP="00E16642">
      <w:pPr>
        <w:pStyle w:val="Prrafodelista"/>
        <w:numPr>
          <w:ilvl w:val="0"/>
          <w:numId w:val="6"/>
        </w:numPr>
        <w:rPr>
          <w:rFonts w:cs="Arial"/>
          <w:sz w:val="20"/>
          <w:szCs w:val="20"/>
        </w:rPr>
      </w:pPr>
      <w:r w:rsidRPr="0019186D">
        <w:rPr>
          <w:rFonts w:cs="Arial"/>
          <w:sz w:val="20"/>
          <w:szCs w:val="20"/>
        </w:rPr>
        <w:t xml:space="preserve">Harry Collins y Trevor </w:t>
      </w:r>
      <w:proofErr w:type="spellStart"/>
      <w:r w:rsidRPr="0019186D">
        <w:rPr>
          <w:rFonts w:cs="Arial"/>
          <w:sz w:val="20"/>
          <w:szCs w:val="20"/>
        </w:rPr>
        <w:t>Pinch</w:t>
      </w:r>
      <w:proofErr w:type="spellEnd"/>
    </w:p>
    <w:p w:rsidR="001C3F30" w:rsidRPr="0019186D" w:rsidRDefault="001C3F30" w:rsidP="00E16642">
      <w:pPr>
        <w:pStyle w:val="Prrafodelista"/>
        <w:numPr>
          <w:ilvl w:val="0"/>
          <w:numId w:val="6"/>
        </w:numPr>
        <w:rPr>
          <w:rFonts w:cs="Arial"/>
          <w:sz w:val="20"/>
          <w:szCs w:val="20"/>
          <w:lang w:val="en-US"/>
        </w:rPr>
      </w:pPr>
      <w:r w:rsidRPr="0019186D">
        <w:rPr>
          <w:rFonts w:cs="Arial"/>
          <w:sz w:val="20"/>
          <w:szCs w:val="20"/>
          <w:lang w:val="en-US"/>
        </w:rPr>
        <w:t xml:space="preserve">Barry Barnes, </w:t>
      </w:r>
      <w:proofErr w:type="spellStart"/>
      <w:r w:rsidRPr="0019186D">
        <w:rPr>
          <w:rFonts w:cs="Arial"/>
          <w:sz w:val="20"/>
          <w:szCs w:val="20"/>
          <w:lang w:val="en-US"/>
        </w:rPr>
        <w:t>Setve</w:t>
      </w:r>
      <w:proofErr w:type="spellEnd"/>
      <w:r w:rsidRPr="0019186D">
        <w:rPr>
          <w:rFonts w:cs="Arial"/>
          <w:sz w:val="20"/>
          <w:szCs w:val="20"/>
          <w:lang w:val="en-US"/>
        </w:rPr>
        <w:t xml:space="preserve"> </w:t>
      </w:r>
      <w:proofErr w:type="spellStart"/>
      <w:r w:rsidRPr="0019186D">
        <w:rPr>
          <w:rFonts w:cs="Arial"/>
          <w:sz w:val="20"/>
          <w:szCs w:val="20"/>
          <w:lang w:val="en-US"/>
        </w:rPr>
        <w:t>Woolgar</w:t>
      </w:r>
      <w:proofErr w:type="spellEnd"/>
      <w:r w:rsidRPr="0019186D">
        <w:rPr>
          <w:rFonts w:cs="Arial"/>
          <w:sz w:val="20"/>
          <w:szCs w:val="20"/>
          <w:lang w:val="en-US"/>
        </w:rPr>
        <w:t>, Karin Knorr-</w:t>
      </w:r>
      <w:proofErr w:type="spellStart"/>
      <w:r w:rsidRPr="0019186D">
        <w:rPr>
          <w:rFonts w:cs="Arial"/>
          <w:sz w:val="20"/>
          <w:szCs w:val="20"/>
          <w:lang w:val="en-US"/>
        </w:rPr>
        <w:t>Cetina</w:t>
      </w:r>
      <w:proofErr w:type="spellEnd"/>
      <w:r w:rsidRPr="0019186D">
        <w:rPr>
          <w:rFonts w:cs="Arial"/>
          <w:sz w:val="20"/>
          <w:szCs w:val="20"/>
          <w:lang w:val="en-US"/>
        </w:rPr>
        <w:t xml:space="preserve"> y Bruno </w:t>
      </w:r>
      <w:proofErr w:type="spellStart"/>
      <w:r w:rsidRPr="0019186D">
        <w:rPr>
          <w:rFonts w:cs="Arial"/>
          <w:sz w:val="20"/>
          <w:szCs w:val="20"/>
          <w:lang w:val="en-US"/>
        </w:rPr>
        <w:t>Latour</w:t>
      </w:r>
      <w:proofErr w:type="spellEnd"/>
    </w:p>
    <w:p w:rsidR="001C3F30" w:rsidRPr="0019186D" w:rsidRDefault="001C3F30" w:rsidP="00E16642">
      <w:pPr>
        <w:pStyle w:val="Prrafodelista"/>
        <w:numPr>
          <w:ilvl w:val="0"/>
          <w:numId w:val="6"/>
        </w:numPr>
        <w:rPr>
          <w:rFonts w:cs="Arial"/>
          <w:sz w:val="20"/>
          <w:szCs w:val="20"/>
          <w:lang w:val="en-US"/>
        </w:rPr>
      </w:pPr>
      <w:r w:rsidRPr="0019186D">
        <w:rPr>
          <w:rFonts w:cs="Arial"/>
          <w:sz w:val="20"/>
          <w:szCs w:val="20"/>
          <w:lang w:val="en-US"/>
        </w:rPr>
        <w:t xml:space="preserve">Harold </w:t>
      </w:r>
      <w:proofErr w:type="spellStart"/>
      <w:r w:rsidRPr="0019186D">
        <w:rPr>
          <w:rFonts w:cs="Arial"/>
          <w:sz w:val="20"/>
          <w:szCs w:val="20"/>
          <w:lang w:val="en-US"/>
        </w:rPr>
        <w:t>Concklin</w:t>
      </w:r>
      <w:proofErr w:type="spellEnd"/>
      <w:r w:rsidRPr="0019186D">
        <w:rPr>
          <w:rFonts w:cs="Arial"/>
          <w:sz w:val="20"/>
          <w:szCs w:val="20"/>
          <w:lang w:val="en-US"/>
        </w:rPr>
        <w:t xml:space="preserve"> y Claude </w:t>
      </w:r>
      <w:proofErr w:type="spellStart"/>
      <w:r w:rsidRPr="0019186D">
        <w:rPr>
          <w:rFonts w:cs="Arial"/>
          <w:sz w:val="20"/>
          <w:szCs w:val="20"/>
          <w:lang w:val="en-US"/>
        </w:rPr>
        <w:t>Lévi-Strass</w:t>
      </w:r>
      <w:proofErr w:type="spellEnd"/>
    </w:p>
    <w:p w:rsidR="001C3F30" w:rsidRPr="0019186D" w:rsidRDefault="001C3F30" w:rsidP="00E16642">
      <w:pPr>
        <w:pStyle w:val="Prrafodelista"/>
        <w:numPr>
          <w:ilvl w:val="0"/>
          <w:numId w:val="6"/>
        </w:numPr>
        <w:rPr>
          <w:rFonts w:cs="Arial"/>
          <w:sz w:val="20"/>
          <w:szCs w:val="20"/>
          <w:lang w:val="en-US"/>
        </w:rPr>
      </w:pPr>
      <w:r w:rsidRPr="0019186D">
        <w:rPr>
          <w:rFonts w:cs="Arial"/>
          <w:sz w:val="20"/>
          <w:szCs w:val="20"/>
          <w:lang w:val="en-US"/>
        </w:rPr>
        <w:t xml:space="preserve">Bruno </w:t>
      </w:r>
      <w:proofErr w:type="spellStart"/>
      <w:r w:rsidRPr="0019186D">
        <w:rPr>
          <w:rFonts w:cs="Arial"/>
          <w:sz w:val="20"/>
          <w:szCs w:val="20"/>
          <w:lang w:val="en-US"/>
        </w:rPr>
        <w:t>Latour</w:t>
      </w:r>
      <w:proofErr w:type="spellEnd"/>
      <w:r w:rsidRPr="0019186D">
        <w:rPr>
          <w:rFonts w:cs="Arial"/>
          <w:sz w:val="20"/>
          <w:szCs w:val="20"/>
          <w:lang w:val="en-US"/>
        </w:rPr>
        <w:t xml:space="preserve"> y David Hess</w:t>
      </w:r>
    </w:p>
    <w:p w:rsidR="001C3F30" w:rsidRPr="0019186D" w:rsidRDefault="001C3F30" w:rsidP="00E16642">
      <w:pPr>
        <w:pStyle w:val="Prrafodelista"/>
        <w:numPr>
          <w:ilvl w:val="0"/>
          <w:numId w:val="6"/>
        </w:numPr>
        <w:rPr>
          <w:rFonts w:cs="Arial"/>
          <w:sz w:val="20"/>
          <w:szCs w:val="20"/>
          <w:lang w:val="en-US"/>
        </w:rPr>
      </w:pPr>
      <w:proofErr w:type="spellStart"/>
      <w:r w:rsidRPr="0019186D">
        <w:rPr>
          <w:rFonts w:cs="Arial"/>
          <w:sz w:val="20"/>
          <w:szCs w:val="20"/>
          <w:lang w:val="en-US"/>
        </w:rPr>
        <w:t>Davir</w:t>
      </w:r>
      <w:proofErr w:type="spellEnd"/>
      <w:r w:rsidRPr="0019186D">
        <w:rPr>
          <w:rFonts w:cs="Arial"/>
          <w:sz w:val="20"/>
          <w:szCs w:val="20"/>
          <w:lang w:val="en-US"/>
        </w:rPr>
        <w:t xml:space="preserve"> Bloor, Barry Barnes y Michael </w:t>
      </w:r>
      <w:proofErr w:type="spellStart"/>
      <w:r w:rsidRPr="0019186D">
        <w:rPr>
          <w:rFonts w:cs="Arial"/>
          <w:sz w:val="20"/>
          <w:szCs w:val="20"/>
          <w:lang w:val="en-US"/>
        </w:rPr>
        <w:t>Mulkay</w:t>
      </w:r>
      <w:proofErr w:type="spellEnd"/>
    </w:p>
    <w:p w:rsidR="001C3F30" w:rsidRPr="0019186D" w:rsidRDefault="001C3F30" w:rsidP="00E16642">
      <w:pPr>
        <w:pStyle w:val="Prrafodelista"/>
        <w:numPr>
          <w:ilvl w:val="0"/>
          <w:numId w:val="6"/>
        </w:numPr>
        <w:rPr>
          <w:rFonts w:cs="Arial"/>
          <w:sz w:val="20"/>
          <w:szCs w:val="20"/>
          <w:lang w:val="en-US"/>
        </w:rPr>
      </w:pPr>
      <w:r w:rsidRPr="0019186D">
        <w:rPr>
          <w:rFonts w:cs="Arial"/>
          <w:sz w:val="20"/>
          <w:szCs w:val="20"/>
          <w:lang w:val="en-US"/>
        </w:rPr>
        <w:t xml:space="preserve">Steve Schaffer y Steve </w:t>
      </w:r>
      <w:proofErr w:type="spellStart"/>
      <w:r w:rsidRPr="0019186D">
        <w:rPr>
          <w:rFonts w:cs="Arial"/>
          <w:sz w:val="20"/>
          <w:szCs w:val="20"/>
          <w:lang w:val="en-US"/>
        </w:rPr>
        <w:t>Shapin</w:t>
      </w:r>
      <w:proofErr w:type="spellEnd"/>
    </w:p>
    <w:p w:rsidR="001C3F30" w:rsidRPr="0019186D" w:rsidRDefault="001C3F30" w:rsidP="00E16642">
      <w:pPr>
        <w:pStyle w:val="Prrafodelista"/>
        <w:numPr>
          <w:ilvl w:val="0"/>
          <w:numId w:val="6"/>
        </w:numPr>
        <w:rPr>
          <w:rFonts w:cs="Arial"/>
          <w:sz w:val="20"/>
          <w:szCs w:val="20"/>
          <w:lang w:val="en-US"/>
        </w:rPr>
      </w:pPr>
      <w:r w:rsidRPr="0019186D">
        <w:rPr>
          <w:rFonts w:cs="Arial"/>
          <w:sz w:val="20"/>
          <w:szCs w:val="20"/>
          <w:lang w:val="en-US"/>
        </w:rPr>
        <w:t xml:space="preserve">Steve Fuller y William </w:t>
      </w:r>
      <w:proofErr w:type="spellStart"/>
      <w:r w:rsidRPr="0019186D">
        <w:rPr>
          <w:rFonts w:cs="Arial"/>
          <w:sz w:val="20"/>
          <w:szCs w:val="20"/>
          <w:lang w:val="en-US"/>
        </w:rPr>
        <w:t>Shadish</w:t>
      </w:r>
      <w:proofErr w:type="spellEnd"/>
    </w:p>
    <w:p w:rsidR="001C3F30" w:rsidRPr="0019186D" w:rsidRDefault="001C3F30" w:rsidP="00E16642">
      <w:pPr>
        <w:pStyle w:val="Prrafodelista"/>
        <w:numPr>
          <w:ilvl w:val="0"/>
          <w:numId w:val="6"/>
        </w:numPr>
        <w:rPr>
          <w:rFonts w:cs="Arial"/>
          <w:sz w:val="20"/>
          <w:szCs w:val="20"/>
        </w:rPr>
      </w:pPr>
      <w:proofErr w:type="spellStart"/>
      <w:r w:rsidRPr="0019186D">
        <w:rPr>
          <w:rFonts w:cs="Arial"/>
          <w:sz w:val="20"/>
          <w:szCs w:val="20"/>
        </w:rPr>
        <w:t>Jurgen</w:t>
      </w:r>
      <w:proofErr w:type="spellEnd"/>
      <w:r w:rsidRPr="0019186D">
        <w:rPr>
          <w:rFonts w:cs="Arial"/>
          <w:sz w:val="20"/>
          <w:szCs w:val="20"/>
        </w:rPr>
        <w:t xml:space="preserve"> </w:t>
      </w:r>
      <w:proofErr w:type="spellStart"/>
      <w:r w:rsidRPr="0019186D">
        <w:rPr>
          <w:rFonts w:cs="Arial"/>
          <w:sz w:val="20"/>
          <w:szCs w:val="20"/>
        </w:rPr>
        <w:t>Habermas</w:t>
      </w:r>
      <w:proofErr w:type="spellEnd"/>
      <w:r w:rsidRPr="0019186D">
        <w:rPr>
          <w:rFonts w:cs="Arial"/>
          <w:sz w:val="20"/>
          <w:szCs w:val="20"/>
        </w:rPr>
        <w:t xml:space="preserve">, </w:t>
      </w:r>
      <w:proofErr w:type="spellStart"/>
      <w:r w:rsidRPr="0019186D">
        <w:rPr>
          <w:rFonts w:cs="Arial"/>
          <w:sz w:val="20"/>
          <w:szCs w:val="20"/>
        </w:rPr>
        <w:t>Clifford</w:t>
      </w:r>
      <w:proofErr w:type="spellEnd"/>
      <w:r w:rsidRPr="0019186D">
        <w:rPr>
          <w:rFonts w:cs="Arial"/>
          <w:sz w:val="20"/>
          <w:szCs w:val="20"/>
        </w:rPr>
        <w:t xml:space="preserve"> </w:t>
      </w:r>
      <w:proofErr w:type="spellStart"/>
      <w:r w:rsidRPr="0019186D">
        <w:rPr>
          <w:rFonts w:cs="Arial"/>
          <w:sz w:val="20"/>
          <w:szCs w:val="20"/>
        </w:rPr>
        <w:t>Geertz</w:t>
      </w:r>
      <w:proofErr w:type="spellEnd"/>
      <w:r w:rsidRPr="0019186D">
        <w:rPr>
          <w:rFonts w:cs="Arial"/>
          <w:sz w:val="20"/>
          <w:szCs w:val="20"/>
        </w:rPr>
        <w:t xml:space="preserve">, Marcus E. G. y </w:t>
      </w:r>
      <w:proofErr w:type="spellStart"/>
      <w:r w:rsidRPr="0019186D">
        <w:rPr>
          <w:rFonts w:cs="Arial"/>
          <w:sz w:val="20"/>
          <w:szCs w:val="20"/>
        </w:rPr>
        <w:t>Cushman</w:t>
      </w:r>
      <w:proofErr w:type="spellEnd"/>
      <w:r w:rsidRPr="0019186D">
        <w:rPr>
          <w:rFonts w:cs="Arial"/>
          <w:sz w:val="20"/>
          <w:szCs w:val="20"/>
        </w:rPr>
        <w:t xml:space="preserve"> D. E.</w:t>
      </w:r>
    </w:p>
    <w:p w:rsidR="001C3F30" w:rsidRPr="0019186D" w:rsidRDefault="001C3F30" w:rsidP="00E16642">
      <w:pPr>
        <w:pStyle w:val="Prrafodelista"/>
        <w:numPr>
          <w:ilvl w:val="0"/>
          <w:numId w:val="6"/>
        </w:numPr>
        <w:rPr>
          <w:rFonts w:cs="Arial"/>
          <w:sz w:val="20"/>
          <w:szCs w:val="20"/>
          <w:lang w:val="en-US"/>
        </w:rPr>
      </w:pPr>
      <w:r w:rsidRPr="0019186D">
        <w:rPr>
          <w:rFonts w:cs="Arial"/>
          <w:sz w:val="20"/>
          <w:szCs w:val="20"/>
          <w:lang w:val="en-US"/>
        </w:rPr>
        <w:t xml:space="preserve">Edgar Morin, </w:t>
      </w:r>
      <w:proofErr w:type="spellStart"/>
      <w:r w:rsidRPr="0019186D">
        <w:rPr>
          <w:rFonts w:cs="Arial"/>
          <w:sz w:val="20"/>
          <w:szCs w:val="20"/>
          <w:lang w:val="en-US"/>
        </w:rPr>
        <w:t>Ilya</w:t>
      </w:r>
      <w:proofErr w:type="spellEnd"/>
      <w:r w:rsidRPr="0019186D">
        <w:rPr>
          <w:rFonts w:cs="Arial"/>
          <w:sz w:val="20"/>
          <w:szCs w:val="20"/>
          <w:lang w:val="en-US"/>
        </w:rPr>
        <w:t xml:space="preserve"> Prigogine, Isabelle </w:t>
      </w:r>
      <w:proofErr w:type="spellStart"/>
      <w:r w:rsidRPr="0019186D">
        <w:rPr>
          <w:rFonts w:cs="Arial"/>
          <w:sz w:val="20"/>
          <w:szCs w:val="20"/>
          <w:lang w:val="en-US"/>
        </w:rPr>
        <w:t>Stengers</w:t>
      </w:r>
      <w:proofErr w:type="spellEnd"/>
      <w:r w:rsidRPr="0019186D">
        <w:rPr>
          <w:rFonts w:cs="Arial"/>
          <w:sz w:val="20"/>
          <w:szCs w:val="20"/>
          <w:lang w:val="en-US"/>
        </w:rPr>
        <w:t xml:space="preserve"> y Thomas Hughes</w:t>
      </w:r>
    </w:p>
    <w:p w:rsidR="001C3F30" w:rsidRPr="0019186D" w:rsidRDefault="001C3F30" w:rsidP="00E16642">
      <w:pPr>
        <w:pStyle w:val="Prrafodelista"/>
        <w:numPr>
          <w:ilvl w:val="0"/>
          <w:numId w:val="6"/>
        </w:numPr>
        <w:rPr>
          <w:rFonts w:cs="Arial"/>
          <w:sz w:val="20"/>
          <w:szCs w:val="20"/>
          <w:lang w:val="en-US"/>
        </w:rPr>
      </w:pPr>
      <w:r w:rsidRPr="0019186D">
        <w:rPr>
          <w:rFonts w:cs="Arial"/>
          <w:sz w:val="20"/>
          <w:szCs w:val="20"/>
          <w:lang w:val="en-US"/>
        </w:rPr>
        <w:t xml:space="preserve">Michel Foucault y Gilles </w:t>
      </w:r>
      <w:proofErr w:type="spellStart"/>
      <w:r w:rsidRPr="0019186D">
        <w:rPr>
          <w:rFonts w:cs="Arial"/>
          <w:sz w:val="20"/>
          <w:szCs w:val="20"/>
          <w:lang w:val="en-US"/>
        </w:rPr>
        <w:t>Deleuze</w:t>
      </w:r>
      <w:proofErr w:type="spellEnd"/>
    </w:p>
    <w:p w:rsidR="001C3F30" w:rsidRPr="0019186D" w:rsidRDefault="001C3F30" w:rsidP="00E16642">
      <w:pPr>
        <w:pStyle w:val="Prrafodelista"/>
        <w:numPr>
          <w:ilvl w:val="0"/>
          <w:numId w:val="6"/>
        </w:numPr>
        <w:rPr>
          <w:rFonts w:cs="Arial"/>
          <w:sz w:val="20"/>
          <w:szCs w:val="20"/>
        </w:rPr>
      </w:pPr>
      <w:r w:rsidRPr="0019186D">
        <w:rPr>
          <w:rFonts w:cs="Arial"/>
          <w:sz w:val="20"/>
          <w:szCs w:val="20"/>
        </w:rPr>
        <w:lastRenderedPageBreak/>
        <w:t xml:space="preserve">Paul </w:t>
      </w:r>
      <w:proofErr w:type="spellStart"/>
      <w:r w:rsidRPr="0019186D">
        <w:rPr>
          <w:rFonts w:cs="Arial"/>
          <w:sz w:val="20"/>
          <w:szCs w:val="20"/>
        </w:rPr>
        <w:t>Ricoeur</w:t>
      </w:r>
      <w:proofErr w:type="spellEnd"/>
      <w:r w:rsidRPr="0019186D">
        <w:rPr>
          <w:rFonts w:cs="Arial"/>
          <w:sz w:val="20"/>
          <w:szCs w:val="20"/>
        </w:rPr>
        <w:t xml:space="preserve"> (que se utiliza para las corrientes de investigación en las ciencias sociales)</w:t>
      </w:r>
    </w:p>
    <w:p w:rsidR="001C3F30" w:rsidRPr="0019186D" w:rsidRDefault="001C3F30" w:rsidP="00E16642">
      <w:pPr>
        <w:pStyle w:val="Prrafodelista"/>
        <w:numPr>
          <w:ilvl w:val="0"/>
          <w:numId w:val="6"/>
        </w:numPr>
        <w:rPr>
          <w:rFonts w:cs="Arial"/>
          <w:sz w:val="20"/>
          <w:szCs w:val="20"/>
        </w:rPr>
      </w:pPr>
      <w:r w:rsidRPr="0019186D">
        <w:rPr>
          <w:rFonts w:cs="Arial"/>
          <w:sz w:val="20"/>
          <w:szCs w:val="20"/>
        </w:rPr>
        <w:t xml:space="preserve">Hugo </w:t>
      </w:r>
      <w:proofErr w:type="spellStart"/>
      <w:r w:rsidRPr="0019186D">
        <w:rPr>
          <w:rFonts w:cs="Arial"/>
          <w:sz w:val="20"/>
          <w:szCs w:val="20"/>
        </w:rPr>
        <w:t>Zemelman</w:t>
      </w:r>
      <w:proofErr w:type="spellEnd"/>
      <w:r w:rsidRPr="0019186D">
        <w:rPr>
          <w:rFonts w:cs="Arial"/>
          <w:sz w:val="20"/>
          <w:szCs w:val="20"/>
        </w:rPr>
        <w:t xml:space="preserve"> y </w:t>
      </w:r>
      <w:proofErr w:type="spellStart"/>
      <w:r w:rsidRPr="0019186D">
        <w:rPr>
          <w:rFonts w:cs="Arial"/>
          <w:sz w:val="20"/>
          <w:szCs w:val="20"/>
        </w:rPr>
        <w:t>Karel</w:t>
      </w:r>
      <w:proofErr w:type="spellEnd"/>
      <w:r w:rsidRPr="0019186D">
        <w:rPr>
          <w:rFonts w:cs="Arial"/>
          <w:sz w:val="20"/>
          <w:szCs w:val="20"/>
        </w:rPr>
        <w:t xml:space="preserve"> </w:t>
      </w:r>
      <w:proofErr w:type="spellStart"/>
      <w:r w:rsidRPr="0019186D">
        <w:rPr>
          <w:rFonts w:cs="Arial"/>
          <w:sz w:val="20"/>
          <w:szCs w:val="20"/>
        </w:rPr>
        <w:t>Kosik</w:t>
      </w:r>
      <w:proofErr w:type="spellEnd"/>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 xml:space="preserve">En cuanto a la carencia de autores mexicanos, proponen que sean revisadas las aportaciones de León Olivé y Larry Laudan y de los historiadores Elías </w:t>
      </w:r>
      <w:proofErr w:type="spellStart"/>
      <w:r w:rsidRPr="0019186D">
        <w:rPr>
          <w:rFonts w:cs="Arial"/>
          <w:sz w:val="20"/>
          <w:szCs w:val="20"/>
        </w:rPr>
        <w:t>Trabulse</w:t>
      </w:r>
      <w:proofErr w:type="spellEnd"/>
      <w:r w:rsidRPr="0019186D">
        <w:rPr>
          <w:rFonts w:cs="Arial"/>
          <w:sz w:val="20"/>
          <w:szCs w:val="20"/>
        </w:rPr>
        <w:t xml:space="preserve"> y Juan José Saldaña. </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De materias específicas: en la</w:t>
      </w:r>
      <w:r w:rsidRPr="0019186D">
        <w:rPr>
          <w:rFonts w:cs="Arial"/>
          <w:i/>
          <w:sz w:val="20"/>
          <w:szCs w:val="20"/>
        </w:rPr>
        <w:t xml:space="preserve"> filosofía antropológica</w:t>
      </w:r>
      <w:r w:rsidRPr="0019186D">
        <w:rPr>
          <w:rFonts w:cs="Arial"/>
          <w:sz w:val="20"/>
          <w:szCs w:val="20"/>
        </w:rPr>
        <w:t xml:space="preserve"> refieren a Ernst </w:t>
      </w:r>
      <w:proofErr w:type="spellStart"/>
      <w:r w:rsidRPr="0019186D">
        <w:rPr>
          <w:rFonts w:cs="Arial"/>
          <w:sz w:val="20"/>
          <w:szCs w:val="20"/>
        </w:rPr>
        <w:t>Cassirer</w:t>
      </w:r>
      <w:proofErr w:type="spellEnd"/>
      <w:r w:rsidRPr="0019186D">
        <w:rPr>
          <w:rFonts w:cs="Arial"/>
          <w:sz w:val="20"/>
          <w:szCs w:val="20"/>
        </w:rPr>
        <w:t xml:space="preserve">, en </w:t>
      </w:r>
      <w:r w:rsidRPr="0019186D">
        <w:rPr>
          <w:rFonts w:cs="Arial"/>
          <w:i/>
          <w:sz w:val="20"/>
          <w:szCs w:val="20"/>
        </w:rPr>
        <w:t>métodos del discurso científico</w:t>
      </w:r>
      <w:r w:rsidRPr="0019186D">
        <w:rPr>
          <w:rFonts w:cs="Arial"/>
          <w:sz w:val="20"/>
          <w:szCs w:val="20"/>
        </w:rPr>
        <w:t xml:space="preserve"> Jack </w:t>
      </w:r>
      <w:proofErr w:type="spellStart"/>
      <w:r w:rsidRPr="0019186D">
        <w:rPr>
          <w:rFonts w:cs="Arial"/>
          <w:sz w:val="20"/>
          <w:szCs w:val="20"/>
        </w:rPr>
        <w:t>Goody</w:t>
      </w:r>
      <w:proofErr w:type="spellEnd"/>
      <w:r w:rsidRPr="0019186D">
        <w:rPr>
          <w:rFonts w:cs="Arial"/>
          <w:sz w:val="20"/>
          <w:szCs w:val="20"/>
        </w:rPr>
        <w:t>, quien es antropólogo clásico de la escritura ya que esta asignatura está dirigida al discurso como la forma de elaboración de reportes, de textos científicos o de la divulgación científica y se omiten los métodos derivados de la lingüística o de la interpretación de la acción. En cuanto a las materias de Fundamentos de la física, Fundamentos de las ciencias sociales, Fundamentos de la tecnología, Fundamentos de la biología, Fundamentos de las matemáticas y Aspectos lógicos de la lógica</w:t>
      </w:r>
      <w:r w:rsidRPr="0019186D">
        <w:rPr>
          <w:rFonts w:cs="Arial"/>
          <w:i/>
          <w:sz w:val="20"/>
          <w:szCs w:val="20"/>
        </w:rPr>
        <w:t xml:space="preserve"> </w:t>
      </w:r>
      <w:r w:rsidRPr="0019186D">
        <w:rPr>
          <w:rFonts w:cs="Arial"/>
          <w:sz w:val="20"/>
          <w:szCs w:val="20"/>
        </w:rPr>
        <w:t>matemática sugieren que deberían enfocarse a los métodos de las disciplinas mencionadas en lugar de abordar contenidos de las mismas.</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 xml:space="preserve">Sugieren también que deberían contar con mapas curriculares, justificación y otros documentos explicativos a manera de elementos de juicio, ya que consideran que las referencias fueron consideradas a partir de una inclinación por parte del realizador en lugar de una </w:t>
      </w:r>
      <w:proofErr w:type="spellStart"/>
      <w:r w:rsidRPr="0019186D">
        <w:rPr>
          <w:rFonts w:cs="Arial"/>
          <w:sz w:val="20"/>
          <w:szCs w:val="20"/>
        </w:rPr>
        <w:t>equilibración</w:t>
      </w:r>
      <w:proofErr w:type="spellEnd"/>
      <w:r w:rsidRPr="0019186D">
        <w:rPr>
          <w:rFonts w:cs="Arial"/>
          <w:sz w:val="20"/>
          <w:szCs w:val="20"/>
        </w:rPr>
        <w:t xml:space="preserve"> acorde a los contenidos. Además que se incluyan recomendaciones bibliográficas de acuerdo con los temas a tratar indicando la correspondencia entre el texto y la parte del curso; y la aclaración sobre la integralidad de la lectura o el empleo selectivo de los capítulos.</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Sobre los procedimientos o instrumentos de evaluación se consideran muy convencionales, tales como tareas, exámenes, exposiciones en clase, controles de lectura, etc., los cuales están desligados al encuadre, conducción o avances de la investigación de tesis de los maestrantes.</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 xml:space="preserve">En el total de la </w:t>
      </w:r>
      <w:proofErr w:type="spellStart"/>
      <w:r w:rsidRPr="0019186D">
        <w:rPr>
          <w:rFonts w:cs="Arial"/>
          <w:sz w:val="20"/>
          <w:szCs w:val="20"/>
        </w:rPr>
        <w:t>bibliometría</w:t>
      </w:r>
      <w:proofErr w:type="spellEnd"/>
      <w:r w:rsidRPr="0019186D">
        <w:rPr>
          <w:rFonts w:cs="Arial"/>
          <w:sz w:val="20"/>
          <w:szCs w:val="20"/>
        </w:rPr>
        <w:t xml:space="preserve"> se encuentra un 51% de referencias de manuales; 46% de libros; 1% en artículos y 1.6% en notas; sin contar con materiales elaborados por los profesores de la MCMC. Asimismo se reporta que la mayoría tiene más de una década de haber sido publicada (soslayando la materia de Historia del Método Científico por así requerirlo). Sobre la </w:t>
      </w:r>
      <w:proofErr w:type="spellStart"/>
      <w:r w:rsidRPr="0019186D">
        <w:rPr>
          <w:rFonts w:cs="Arial"/>
          <w:sz w:val="20"/>
          <w:szCs w:val="20"/>
        </w:rPr>
        <w:t>bibliometría</w:t>
      </w:r>
      <w:proofErr w:type="spellEnd"/>
      <w:r w:rsidRPr="0019186D">
        <w:rPr>
          <w:rFonts w:cs="Arial"/>
          <w:sz w:val="20"/>
          <w:szCs w:val="20"/>
        </w:rPr>
        <w:t xml:space="preserve"> de los programas actualizados por el PESTyC reportan un cambio del 30%. </w:t>
      </w:r>
    </w:p>
    <w:p w:rsidR="001C3F30" w:rsidRPr="0019186D" w:rsidRDefault="001C3F30" w:rsidP="00E16642">
      <w:pPr>
        <w:rPr>
          <w:rFonts w:cs="Arial"/>
          <w:sz w:val="20"/>
          <w:szCs w:val="20"/>
        </w:rPr>
      </w:pPr>
    </w:p>
    <w:p w:rsidR="001C3F30" w:rsidRPr="008F5862" w:rsidRDefault="001C3F30" w:rsidP="00E16642">
      <w:pPr>
        <w:rPr>
          <w:b/>
          <w:sz w:val="22"/>
        </w:rPr>
      </w:pPr>
      <w:bookmarkStart w:id="51" w:name="_Toc243070775"/>
      <w:bookmarkStart w:id="52" w:name="_Toc250459193"/>
      <w:r w:rsidRPr="008F5862">
        <w:rPr>
          <w:b/>
          <w:sz w:val="22"/>
        </w:rPr>
        <w:t>Función docente y producción científica de la planta profesoral.</w:t>
      </w:r>
      <w:bookmarkEnd w:id="51"/>
      <w:bookmarkEnd w:id="52"/>
    </w:p>
    <w:p w:rsidR="001C3F30" w:rsidRPr="0019186D" w:rsidRDefault="001C3F30" w:rsidP="00E16642">
      <w:pPr>
        <w:rPr>
          <w:rFonts w:cs="Arial"/>
          <w:sz w:val="20"/>
          <w:szCs w:val="20"/>
        </w:rPr>
      </w:pPr>
      <w:r w:rsidRPr="0019186D">
        <w:rPr>
          <w:rFonts w:cs="Arial"/>
          <w:sz w:val="20"/>
          <w:szCs w:val="20"/>
        </w:rPr>
        <w:t>FORMACIÓN:</w:t>
      </w:r>
    </w:p>
    <w:p w:rsidR="001C3F30" w:rsidRPr="0019186D" w:rsidRDefault="001C3F30" w:rsidP="00E16642">
      <w:pPr>
        <w:rPr>
          <w:rFonts w:cs="Arial"/>
          <w:sz w:val="20"/>
          <w:szCs w:val="20"/>
        </w:rPr>
      </w:pPr>
      <w:r w:rsidRPr="0019186D">
        <w:rPr>
          <w:rFonts w:cs="Arial"/>
          <w:sz w:val="20"/>
          <w:szCs w:val="20"/>
        </w:rPr>
        <w:t>Se cuenta con profesores formados en ciencias básicas, historia, filosofía y aspectos educacionales.</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lastRenderedPageBreak/>
        <w:t>GRADO DE EDUCACIÓN:</w:t>
      </w:r>
    </w:p>
    <w:p w:rsidR="001C3F30" w:rsidRPr="0019186D" w:rsidRDefault="001C3F30" w:rsidP="00E16642">
      <w:pPr>
        <w:rPr>
          <w:rFonts w:cs="Arial"/>
          <w:sz w:val="20"/>
          <w:szCs w:val="20"/>
        </w:rPr>
      </w:pPr>
      <w:r w:rsidRPr="0019186D">
        <w:rPr>
          <w:rFonts w:cs="Arial"/>
          <w:sz w:val="20"/>
          <w:szCs w:val="20"/>
        </w:rPr>
        <w:t xml:space="preserve">El grado obtenido de los once profesores es: tres con doctorado y dos con maestría. </w:t>
      </w:r>
      <w:r w:rsidRPr="0019186D">
        <w:rPr>
          <w:rFonts w:cs="Arial"/>
          <w:i/>
          <w:sz w:val="20"/>
          <w:szCs w:val="20"/>
        </w:rPr>
        <w:t xml:space="preserve">Esto se obtuvo a partir de la revisión de siete Currículum </w:t>
      </w:r>
      <w:proofErr w:type="spellStart"/>
      <w:r w:rsidRPr="0019186D">
        <w:rPr>
          <w:rFonts w:cs="Arial"/>
          <w:i/>
          <w:sz w:val="20"/>
          <w:szCs w:val="20"/>
        </w:rPr>
        <w:t>Viate</w:t>
      </w:r>
      <w:proofErr w:type="spellEnd"/>
      <w:r w:rsidRPr="0019186D">
        <w:rPr>
          <w:rFonts w:cs="Arial"/>
          <w:i/>
          <w:sz w:val="20"/>
          <w:szCs w:val="20"/>
        </w:rPr>
        <w:t>, dos fichas curriculares y sin contar con información de dos profesores (Vargas Garza Ángel Eduardo y Verduzco Ríos Esperanza)</w:t>
      </w:r>
      <w:r w:rsidRPr="0019186D">
        <w:rPr>
          <w:rFonts w:cs="Arial"/>
          <w:sz w:val="20"/>
          <w:szCs w:val="20"/>
        </w:rPr>
        <w:t>.</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LINEAS DE INVESTIGACIÓN:</w:t>
      </w:r>
    </w:p>
    <w:p w:rsidR="001C3F30" w:rsidRPr="0019186D" w:rsidRDefault="001C3F30" w:rsidP="00E16642">
      <w:pPr>
        <w:rPr>
          <w:rFonts w:cs="Arial"/>
          <w:sz w:val="20"/>
          <w:szCs w:val="20"/>
        </w:rPr>
      </w:pPr>
      <w:r w:rsidRPr="0019186D">
        <w:rPr>
          <w:rFonts w:cs="Arial"/>
          <w:sz w:val="20"/>
          <w:szCs w:val="20"/>
        </w:rPr>
        <w:t xml:space="preserve">Los temas de investigación pueden referirse, </w:t>
      </w:r>
      <w:r w:rsidRPr="0019186D">
        <w:rPr>
          <w:rFonts w:cs="Arial"/>
          <w:i/>
          <w:sz w:val="20"/>
          <w:szCs w:val="20"/>
        </w:rPr>
        <w:t>por evocación de los mismos profesores</w:t>
      </w:r>
      <w:r w:rsidRPr="0019186D">
        <w:rPr>
          <w:rFonts w:cs="Arial"/>
          <w:sz w:val="20"/>
          <w:szCs w:val="20"/>
        </w:rPr>
        <w:t>:</w:t>
      </w:r>
    </w:p>
    <w:p w:rsidR="001C3F30" w:rsidRPr="0019186D" w:rsidRDefault="001C3F30" w:rsidP="00E16642">
      <w:pPr>
        <w:pStyle w:val="Prrafodelista"/>
        <w:numPr>
          <w:ilvl w:val="0"/>
          <w:numId w:val="1"/>
        </w:numPr>
        <w:rPr>
          <w:rFonts w:cs="Arial"/>
          <w:sz w:val="20"/>
          <w:szCs w:val="20"/>
        </w:rPr>
      </w:pPr>
      <w:r w:rsidRPr="0019186D">
        <w:rPr>
          <w:rFonts w:cs="Arial"/>
          <w:sz w:val="20"/>
          <w:szCs w:val="20"/>
        </w:rPr>
        <w:t>Temas educacionales</w:t>
      </w:r>
    </w:p>
    <w:p w:rsidR="001C3F30" w:rsidRPr="0019186D" w:rsidRDefault="001C3F30" w:rsidP="00E16642">
      <w:pPr>
        <w:pStyle w:val="Prrafodelista"/>
        <w:numPr>
          <w:ilvl w:val="0"/>
          <w:numId w:val="1"/>
        </w:numPr>
        <w:rPr>
          <w:rFonts w:cs="Arial"/>
          <w:sz w:val="20"/>
          <w:szCs w:val="20"/>
        </w:rPr>
      </w:pPr>
      <w:r w:rsidRPr="0019186D">
        <w:rPr>
          <w:rFonts w:cs="Arial"/>
          <w:sz w:val="20"/>
          <w:szCs w:val="20"/>
        </w:rPr>
        <w:t>Historia de las ciencias</w:t>
      </w:r>
    </w:p>
    <w:p w:rsidR="001C3F30" w:rsidRPr="0019186D" w:rsidRDefault="001C3F30" w:rsidP="00E16642">
      <w:pPr>
        <w:pStyle w:val="Prrafodelista"/>
        <w:numPr>
          <w:ilvl w:val="0"/>
          <w:numId w:val="1"/>
        </w:numPr>
        <w:rPr>
          <w:rFonts w:cs="Arial"/>
          <w:sz w:val="20"/>
          <w:szCs w:val="20"/>
        </w:rPr>
      </w:pPr>
      <w:r w:rsidRPr="0019186D">
        <w:rPr>
          <w:rFonts w:cs="Arial"/>
          <w:sz w:val="20"/>
          <w:szCs w:val="20"/>
        </w:rPr>
        <w:t xml:space="preserve">Ciencias básicas </w:t>
      </w:r>
    </w:p>
    <w:p w:rsidR="001C3F30" w:rsidRPr="0019186D" w:rsidRDefault="001C3F30" w:rsidP="00E16642">
      <w:pPr>
        <w:pStyle w:val="Prrafodelista"/>
        <w:numPr>
          <w:ilvl w:val="0"/>
          <w:numId w:val="1"/>
        </w:numPr>
        <w:rPr>
          <w:rFonts w:cs="Arial"/>
          <w:sz w:val="20"/>
          <w:szCs w:val="20"/>
        </w:rPr>
      </w:pPr>
      <w:r w:rsidRPr="0019186D">
        <w:rPr>
          <w:rFonts w:cs="Arial"/>
          <w:sz w:val="20"/>
          <w:szCs w:val="20"/>
        </w:rPr>
        <w:t>Relaciones ciencia-técnica y sociedad</w:t>
      </w:r>
    </w:p>
    <w:p w:rsidR="001C3F30" w:rsidRPr="0019186D" w:rsidRDefault="001C3F30" w:rsidP="00E16642">
      <w:pPr>
        <w:pStyle w:val="Prrafodelista"/>
        <w:numPr>
          <w:ilvl w:val="0"/>
          <w:numId w:val="1"/>
        </w:numPr>
        <w:rPr>
          <w:rFonts w:cs="Arial"/>
          <w:sz w:val="20"/>
          <w:szCs w:val="20"/>
        </w:rPr>
      </w:pPr>
      <w:r w:rsidRPr="0019186D">
        <w:rPr>
          <w:rFonts w:cs="Arial"/>
          <w:sz w:val="20"/>
          <w:szCs w:val="20"/>
        </w:rPr>
        <w:t>Género</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Cuadro 2: comparativo entre la formación y las líneas de investigación.</w:t>
      </w:r>
    </w:p>
    <w:tbl>
      <w:tblPr>
        <w:tblStyle w:val="Tablaconcuadrcula"/>
        <w:tblW w:w="0" w:type="auto"/>
        <w:tblLook w:val="04A0" w:firstRow="1" w:lastRow="0" w:firstColumn="1" w:lastColumn="0" w:noHBand="0" w:noVBand="1"/>
      </w:tblPr>
      <w:tblGrid>
        <w:gridCol w:w="4322"/>
        <w:gridCol w:w="4322"/>
      </w:tblGrid>
      <w:tr w:rsidR="001C3F30" w:rsidRPr="0019186D" w:rsidTr="001C3F30">
        <w:tc>
          <w:tcPr>
            <w:tcW w:w="4322" w:type="dxa"/>
            <w:vAlign w:val="center"/>
          </w:tcPr>
          <w:p w:rsidR="001C3F30" w:rsidRPr="0019186D" w:rsidRDefault="001C3F30" w:rsidP="00E16642">
            <w:pPr>
              <w:jc w:val="left"/>
              <w:rPr>
                <w:rFonts w:cs="Arial"/>
                <w:sz w:val="20"/>
                <w:szCs w:val="20"/>
                <w:lang w:val="es-MX"/>
              </w:rPr>
            </w:pPr>
            <w:r w:rsidRPr="0019186D">
              <w:rPr>
                <w:rFonts w:cs="Arial"/>
                <w:sz w:val="20"/>
                <w:szCs w:val="20"/>
                <w:lang w:val="es-MX"/>
              </w:rPr>
              <w:t>Entre dos y cuatro profesores</w:t>
            </w:r>
            <w:r w:rsidRPr="0019186D">
              <w:rPr>
                <w:rStyle w:val="Refdenotaalpie"/>
                <w:rFonts w:cs="Arial"/>
                <w:sz w:val="20"/>
                <w:szCs w:val="20"/>
                <w:lang w:val="es-MX"/>
              </w:rPr>
              <w:footnoteReference w:id="24"/>
            </w:r>
          </w:p>
        </w:tc>
        <w:tc>
          <w:tcPr>
            <w:tcW w:w="4322" w:type="dxa"/>
            <w:vAlign w:val="center"/>
          </w:tcPr>
          <w:p w:rsidR="001C3F30" w:rsidRPr="0019186D" w:rsidRDefault="001C3F30" w:rsidP="00E16642">
            <w:pPr>
              <w:jc w:val="left"/>
              <w:rPr>
                <w:rFonts w:cs="Arial"/>
                <w:sz w:val="20"/>
                <w:szCs w:val="20"/>
                <w:lang w:val="es-MX"/>
              </w:rPr>
            </w:pPr>
            <w:r w:rsidRPr="0019186D">
              <w:rPr>
                <w:rFonts w:cs="Arial"/>
                <w:sz w:val="20"/>
                <w:szCs w:val="20"/>
                <w:lang w:val="es-MX"/>
              </w:rPr>
              <w:t>Epistemología, ciencia, tecnología y sociedad.</w:t>
            </w:r>
          </w:p>
        </w:tc>
      </w:tr>
      <w:tr w:rsidR="001C3F30" w:rsidRPr="0019186D" w:rsidTr="001C3F30">
        <w:tc>
          <w:tcPr>
            <w:tcW w:w="4322" w:type="dxa"/>
            <w:vAlign w:val="center"/>
          </w:tcPr>
          <w:p w:rsidR="001C3F30" w:rsidRPr="0019186D" w:rsidRDefault="001C3F30" w:rsidP="00E16642">
            <w:pPr>
              <w:jc w:val="left"/>
              <w:rPr>
                <w:rFonts w:cs="Arial"/>
                <w:sz w:val="20"/>
                <w:szCs w:val="20"/>
                <w:lang w:val="es-MX"/>
              </w:rPr>
            </w:pPr>
            <w:r w:rsidRPr="0019186D">
              <w:rPr>
                <w:rFonts w:cs="Arial"/>
                <w:sz w:val="20"/>
                <w:szCs w:val="20"/>
                <w:lang w:val="es-MX"/>
              </w:rPr>
              <w:t>Entre dos y cuatro profesores</w:t>
            </w:r>
            <w:r w:rsidRPr="0019186D">
              <w:rPr>
                <w:rStyle w:val="Refdenotaalpie"/>
                <w:rFonts w:cs="Arial"/>
                <w:sz w:val="20"/>
                <w:szCs w:val="20"/>
                <w:lang w:val="es-MX"/>
              </w:rPr>
              <w:footnoteReference w:id="25"/>
            </w:r>
          </w:p>
        </w:tc>
        <w:tc>
          <w:tcPr>
            <w:tcW w:w="4322" w:type="dxa"/>
            <w:vAlign w:val="center"/>
          </w:tcPr>
          <w:p w:rsidR="001C3F30" w:rsidRPr="0019186D" w:rsidRDefault="001C3F30" w:rsidP="00E16642">
            <w:pPr>
              <w:jc w:val="left"/>
              <w:rPr>
                <w:rFonts w:cs="Arial"/>
                <w:sz w:val="20"/>
                <w:szCs w:val="20"/>
                <w:lang w:val="es-MX"/>
              </w:rPr>
            </w:pPr>
            <w:r w:rsidRPr="0019186D">
              <w:rPr>
                <w:rFonts w:cs="Arial"/>
                <w:sz w:val="20"/>
                <w:szCs w:val="20"/>
                <w:lang w:val="es-MX"/>
              </w:rPr>
              <w:t>Historia de la ciencia y la tecnología.</w:t>
            </w:r>
          </w:p>
        </w:tc>
      </w:tr>
      <w:tr w:rsidR="001C3F30" w:rsidRPr="0019186D" w:rsidTr="001C3F30">
        <w:tc>
          <w:tcPr>
            <w:tcW w:w="4322" w:type="dxa"/>
            <w:vAlign w:val="center"/>
          </w:tcPr>
          <w:p w:rsidR="001C3F30" w:rsidRPr="0019186D" w:rsidRDefault="001C3F30" w:rsidP="00E16642">
            <w:pPr>
              <w:jc w:val="left"/>
              <w:rPr>
                <w:rFonts w:cs="Arial"/>
                <w:sz w:val="20"/>
                <w:szCs w:val="20"/>
                <w:lang w:val="es-MX"/>
              </w:rPr>
            </w:pPr>
            <w:r w:rsidRPr="0019186D">
              <w:rPr>
                <w:rFonts w:cs="Arial"/>
                <w:sz w:val="20"/>
                <w:szCs w:val="20"/>
                <w:lang w:val="es-MX"/>
              </w:rPr>
              <w:t>Al menos cinco profesores</w:t>
            </w:r>
          </w:p>
        </w:tc>
        <w:tc>
          <w:tcPr>
            <w:tcW w:w="4322" w:type="dxa"/>
            <w:vAlign w:val="center"/>
          </w:tcPr>
          <w:p w:rsidR="001C3F30" w:rsidRPr="0019186D" w:rsidRDefault="001C3F30" w:rsidP="00E16642">
            <w:pPr>
              <w:jc w:val="left"/>
              <w:rPr>
                <w:rFonts w:cs="Arial"/>
                <w:sz w:val="20"/>
                <w:szCs w:val="20"/>
              </w:rPr>
            </w:pPr>
            <w:r w:rsidRPr="0019186D">
              <w:rPr>
                <w:rFonts w:cs="Arial"/>
                <w:sz w:val="20"/>
                <w:szCs w:val="20"/>
                <w:lang w:val="es-MX"/>
              </w:rPr>
              <w:t>Metodología para el desarrollo de la educación.</w:t>
            </w:r>
          </w:p>
        </w:tc>
      </w:tr>
    </w:tbl>
    <w:p w:rsidR="001C3F30" w:rsidRPr="0019186D" w:rsidRDefault="001C3F30" w:rsidP="00E16642">
      <w:pPr>
        <w:rPr>
          <w:rFonts w:cs="Arial"/>
          <w:sz w:val="20"/>
          <w:szCs w:val="20"/>
        </w:rPr>
      </w:pPr>
      <w:r w:rsidRPr="0019186D">
        <w:rPr>
          <w:rFonts w:cs="Arial"/>
          <w:sz w:val="20"/>
          <w:szCs w:val="20"/>
        </w:rPr>
        <w:t xml:space="preserve">Fuente: Elaboración propia a partir de </w:t>
      </w:r>
      <w:sdt>
        <w:sdtPr>
          <w:rPr>
            <w:rFonts w:cs="Arial"/>
            <w:sz w:val="20"/>
            <w:szCs w:val="20"/>
          </w:rPr>
          <w:id w:val="5814322"/>
          <w:citation/>
        </w:sdtPr>
        <w:sdtEndPr/>
        <w:sdtContent>
          <w:r w:rsidR="0072146B" w:rsidRPr="0019186D">
            <w:rPr>
              <w:rFonts w:cs="Arial"/>
              <w:sz w:val="20"/>
              <w:szCs w:val="20"/>
            </w:rPr>
            <w:fldChar w:fldCharType="begin"/>
          </w:r>
          <w:r w:rsidRPr="0019186D">
            <w:rPr>
              <w:rFonts w:cs="Arial"/>
              <w:sz w:val="20"/>
              <w:szCs w:val="20"/>
            </w:rPr>
            <w:instrText xml:space="preserve"> CITATION MarcadorDePosición5 \l 2058  </w:instrText>
          </w:r>
          <w:r w:rsidR="0072146B" w:rsidRPr="0019186D">
            <w:rPr>
              <w:rFonts w:cs="Arial"/>
              <w:sz w:val="20"/>
              <w:szCs w:val="20"/>
            </w:rPr>
            <w:fldChar w:fldCharType="separate"/>
          </w:r>
          <w:r w:rsidRPr="0019186D">
            <w:rPr>
              <w:rFonts w:cs="Arial"/>
              <w:noProof/>
              <w:sz w:val="20"/>
              <w:szCs w:val="20"/>
            </w:rPr>
            <w:t>(Arellano Hernández &amp; Ledesma Mateos, Evaluación de la maestría en metodología de la ciencia, 2002)</w:t>
          </w:r>
          <w:r w:rsidR="0072146B" w:rsidRPr="0019186D">
            <w:rPr>
              <w:rFonts w:cs="Arial"/>
              <w:sz w:val="20"/>
              <w:szCs w:val="20"/>
            </w:rPr>
            <w:fldChar w:fldCharType="end"/>
          </w:r>
        </w:sdtContent>
      </w:sdt>
      <w:r w:rsidRPr="0019186D">
        <w:rPr>
          <w:rFonts w:cs="Arial"/>
          <w:sz w:val="20"/>
          <w:szCs w:val="20"/>
        </w:rPr>
        <w:t>.</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 xml:space="preserve">Este cuadro indica que </w:t>
      </w:r>
      <w:r w:rsidRPr="0019186D">
        <w:rPr>
          <w:rFonts w:cs="Arial"/>
          <w:i/>
          <w:sz w:val="20"/>
          <w:szCs w:val="20"/>
        </w:rPr>
        <w:t>la maestría adquiría un perfil profesoral de una Maestría en Educación con énfasis en aspectos metodológicos e históricos</w:t>
      </w:r>
      <w:r w:rsidRPr="0019186D">
        <w:rPr>
          <w:rStyle w:val="Refdenotaalpie"/>
          <w:rFonts w:cs="Arial"/>
          <w:i/>
          <w:sz w:val="20"/>
          <w:szCs w:val="20"/>
        </w:rPr>
        <w:footnoteReference w:id="26"/>
      </w:r>
      <w:r w:rsidRPr="0019186D">
        <w:rPr>
          <w:rFonts w:cs="Arial"/>
          <w:sz w:val="20"/>
          <w:szCs w:val="20"/>
        </w:rPr>
        <w:t>, por lo que los autores recomiendan la adecuación de la planta profesoral a la orientación de la maestría.</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En cuanto a la correspondencia de la formación del docente y las líneas de investigación que ellos abordan, indican que en su mayoría carece de formación especializada. Los datos de respaldo son: a partir de sus formación de origen y su trayectoria cinco profesores presentan continuidad entre su formación original, el posgrado y sus líneas de investigación, mientras que seis pareciera que están activos en temas ligados a su formación de origen, dedicándose de manera colateral a aspectos de la metodología de la ciencia y la tecnología. Sin embargo, en el cuadro de relación que presentan, el tema dirigido por dos profesores que indican como no pertinente al programa, es formación de investigadores en educación y en instituciones hospitalarias, lo cual incrementaría el porcentaje de correspondencia ya mencionado.</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lastRenderedPageBreak/>
        <w:t>CARGA POR PROFESOR</w:t>
      </w:r>
    </w:p>
    <w:p w:rsidR="001C3F30" w:rsidRPr="0019186D" w:rsidRDefault="001C3F30" w:rsidP="00E16642">
      <w:pPr>
        <w:rPr>
          <w:rFonts w:cs="Arial"/>
          <w:sz w:val="20"/>
          <w:szCs w:val="20"/>
        </w:rPr>
      </w:pPr>
      <w:r w:rsidRPr="0019186D">
        <w:rPr>
          <w:rFonts w:cs="Arial"/>
          <w:sz w:val="20"/>
          <w:szCs w:val="20"/>
        </w:rPr>
        <w:t xml:space="preserve">Reportan que un profesor imparte el 22% de los cursos, mientras que uno más imparte cuatro, cinco imparten tres materias y cuatro imparten dos materias, para lo cual no existe explicación académica de acuerdo a los autores; sin embargo no dan razón de que en cada materia siempre existan dos candidatos para impartirla aún cuando se repita alguno para diferentes materias. Aunque manejan como oportunidad  que sea signada la titularidad de asignatura a un profesor si es que no se cuenta con el argumento </w:t>
      </w:r>
      <w:proofErr w:type="spellStart"/>
      <w:r w:rsidRPr="0019186D">
        <w:rPr>
          <w:rFonts w:cs="Arial"/>
          <w:sz w:val="20"/>
          <w:szCs w:val="20"/>
        </w:rPr>
        <w:t>justificatorio</w:t>
      </w:r>
      <w:proofErr w:type="spellEnd"/>
      <w:r w:rsidRPr="0019186D">
        <w:rPr>
          <w:rFonts w:cs="Arial"/>
          <w:sz w:val="20"/>
          <w:szCs w:val="20"/>
        </w:rPr>
        <w:t xml:space="preserve"> del incremento en la interdisciplinariedad en la docencia.</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La explicación que otorgan a la situación descrita es que se continúa con la tradición de considerar como actividad complementaria sin compromiso profesional pleno a los estudios sociales, epistemológicos e históricos de la ciencia y la tecnología.</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PRODUCCIÓN CIENTÍFICA DE LA PLANTA PROFESORAL</w:t>
      </w:r>
    </w:p>
    <w:p w:rsidR="001C3F30" w:rsidRPr="0019186D" w:rsidRDefault="001C3F30" w:rsidP="00E16642">
      <w:pPr>
        <w:rPr>
          <w:rFonts w:cs="Arial"/>
          <w:sz w:val="20"/>
          <w:szCs w:val="20"/>
        </w:rPr>
      </w:pPr>
      <w:r w:rsidRPr="0019186D">
        <w:rPr>
          <w:rFonts w:cs="Arial"/>
          <w:sz w:val="20"/>
          <w:szCs w:val="20"/>
        </w:rPr>
        <w:t>El análisis que se realizó fue limitado de acuerdo a los autores, ya que “la identificación de las revistas o espacios editoriales no se puede asignar a referentes indexados nacionalmente” (p. 23). Sin embargo, a partir de la aproximación tipológica que presentan son 477 referencias en las que once de los profesores aparecen como autores siendo 124 las tesis de la MCMC.  De las temáticas que se abordan, mencionan que son diferentes a la MCMC.</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DIRECCIÓN DE TESIS</w:t>
      </w:r>
    </w:p>
    <w:p w:rsidR="001C3F30" w:rsidRPr="0019186D" w:rsidRDefault="001C3F30" w:rsidP="00E16642">
      <w:pPr>
        <w:rPr>
          <w:rFonts w:cs="Arial"/>
          <w:sz w:val="20"/>
          <w:szCs w:val="20"/>
        </w:rPr>
      </w:pPr>
      <w:r w:rsidRPr="0019186D">
        <w:rPr>
          <w:rFonts w:cs="Arial"/>
          <w:sz w:val="20"/>
          <w:szCs w:val="20"/>
        </w:rPr>
        <w:t xml:space="preserve">La carga por profesor es: 84% de los trabajos de tesis fue dirigido por cuatro profesores, resaltando que 40% es </w:t>
      </w:r>
      <w:r w:rsidR="00AB32CA">
        <w:rPr>
          <w:rFonts w:cs="Arial"/>
          <w:sz w:val="20"/>
          <w:szCs w:val="20"/>
        </w:rPr>
        <w:t>solo</w:t>
      </w:r>
      <w:r w:rsidRPr="0019186D">
        <w:rPr>
          <w:rFonts w:cs="Arial"/>
          <w:sz w:val="20"/>
          <w:szCs w:val="20"/>
        </w:rPr>
        <w:t xml:space="preserve"> de uno.</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Cabe resaltar que 25% de los trabajos de tesis fueron codirigidos por profesores del mismo PESTyC, así como de otras instituciones.</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Sobre la coherencia entre temas de tesis y objetivo del posgrado, los autores consideran que existe un 25% de trabajos sin relación, pero de acuerdo con la matriz presentada “Pertinencia de las tesis dirigidas por investigadores del PESTyC en la Maestría en Ciencias en Metodología de la Ciencia de acuerdo a los propósitos del posgrado”, de los nueve profesores mencionados, se indica que tres tienen una diferencia a favor de uno en lo que llaman no pertinente.</w:t>
      </w:r>
    </w:p>
    <w:p w:rsidR="001C3F30" w:rsidRPr="0019186D" w:rsidRDefault="001C3F30" w:rsidP="00E16642">
      <w:pPr>
        <w:rPr>
          <w:rFonts w:cs="Arial"/>
          <w:sz w:val="20"/>
          <w:szCs w:val="20"/>
        </w:rPr>
      </w:pPr>
      <w:r w:rsidRPr="0019186D">
        <w:rPr>
          <w:rFonts w:cs="Arial"/>
          <w:sz w:val="20"/>
          <w:szCs w:val="20"/>
        </w:rPr>
        <w:t xml:space="preserve"> </w:t>
      </w:r>
    </w:p>
    <w:p w:rsidR="001C3F30" w:rsidRPr="008F5862" w:rsidRDefault="001C3F30" w:rsidP="00E16642">
      <w:pPr>
        <w:rPr>
          <w:b/>
          <w:sz w:val="22"/>
        </w:rPr>
      </w:pPr>
      <w:bookmarkStart w:id="53" w:name="_Toc243070776"/>
      <w:bookmarkStart w:id="54" w:name="_Toc250459194"/>
      <w:r w:rsidRPr="008F5862">
        <w:rPr>
          <w:b/>
          <w:sz w:val="22"/>
        </w:rPr>
        <w:t>Calidad de las tesis</w:t>
      </w:r>
      <w:bookmarkEnd w:id="53"/>
      <w:bookmarkEnd w:id="54"/>
    </w:p>
    <w:p w:rsidR="001C3F30" w:rsidRPr="0019186D" w:rsidRDefault="001C3F30" w:rsidP="00E16642">
      <w:pPr>
        <w:rPr>
          <w:rFonts w:cs="Arial"/>
          <w:sz w:val="20"/>
          <w:szCs w:val="20"/>
        </w:rPr>
      </w:pPr>
      <w:r w:rsidRPr="0019186D">
        <w:rPr>
          <w:rFonts w:cs="Arial"/>
          <w:sz w:val="20"/>
          <w:szCs w:val="20"/>
        </w:rPr>
        <w:t xml:space="preserve">De acuerdo con la evaluación de los autores, los temas de tesis presentadas en la MCMC, en su gran mayoría no corresponden a temas de metodología de la ciencia y la tecnología, aunque 44% (54) inciden en la línea de investigación de Educación; 30% (37) en la de Historia y Filosofía de la </w:t>
      </w:r>
      <w:r w:rsidRPr="0019186D">
        <w:rPr>
          <w:rFonts w:cs="Arial"/>
          <w:sz w:val="20"/>
          <w:szCs w:val="20"/>
        </w:rPr>
        <w:lastRenderedPageBreak/>
        <w:t>ciencia y 26% (32) en la de Gestión tecnológica. Por otro lado indican que 52 tesis (41.93%) abordaron temas alejados de lo que pudiera esperarse del posgrado incluyendo las relacionadas con la educación (el porcentaje sería de 25 si es que se eliminara la educación como categoría alejada a la MCMC).</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A manera de nota, indican que el incluir términos como “Metodología” o “Método” en los trabajos de tesis, éstos no se convierten en contenidos reales de Metodología de la Ciencia y la Tecnología.</w:t>
      </w:r>
    </w:p>
    <w:p w:rsidR="001C3F30" w:rsidRPr="0019186D" w:rsidRDefault="001C3F30" w:rsidP="00E16642">
      <w:pPr>
        <w:rPr>
          <w:rFonts w:cs="Arial"/>
          <w:sz w:val="20"/>
          <w:szCs w:val="20"/>
        </w:rPr>
      </w:pPr>
    </w:p>
    <w:p w:rsidR="001C3F30" w:rsidRPr="008F5862" w:rsidRDefault="001C3F30" w:rsidP="00E16642">
      <w:pPr>
        <w:rPr>
          <w:b/>
          <w:sz w:val="22"/>
        </w:rPr>
      </w:pPr>
      <w:bookmarkStart w:id="55" w:name="_Toc243070777"/>
      <w:bookmarkStart w:id="56" w:name="_Toc250459195"/>
      <w:r w:rsidRPr="008F5862">
        <w:rPr>
          <w:b/>
          <w:sz w:val="22"/>
        </w:rPr>
        <w:t>Indicadores del desempeño de la planta estudiantil</w:t>
      </w:r>
      <w:bookmarkEnd w:id="55"/>
      <w:bookmarkEnd w:id="56"/>
    </w:p>
    <w:p w:rsidR="001C3F30" w:rsidRPr="0019186D" w:rsidRDefault="001C3F30" w:rsidP="00E16642">
      <w:pPr>
        <w:rPr>
          <w:rFonts w:cs="Arial"/>
          <w:sz w:val="20"/>
          <w:szCs w:val="20"/>
        </w:rPr>
      </w:pPr>
      <w:r w:rsidRPr="0019186D">
        <w:rPr>
          <w:rFonts w:cs="Arial"/>
          <w:sz w:val="20"/>
          <w:szCs w:val="20"/>
        </w:rPr>
        <w:t xml:space="preserve">En cuanto al desempeño estudiantil refieren que es un aspecto muy positivo y hacen mención de que el 11% de dicha eficiencia se logró mediante el Programa Especial Académico de Graduación </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DE LA EFICIENCIA TERMINAL</w:t>
      </w:r>
    </w:p>
    <w:p w:rsidR="001C3F30" w:rsidRPr="0019186D" w:rsidRDefault="001C3F30" w:rsidP="00E16642">
      <w:pPr>
        <w:pStyle w:val="Prrafodelista"/>
        <w:numPr>
          <w:ilvl w:val="0"/>
          <w:numId w:val="1"/>
        </w:numPr>
        <w:rPr>
          <w:rFonts w:cs="Arial"/>
          <w:sz w:val="20"/>
          <w:szCs w:val="20"/>
        </w:rPr>
      </w:pPr>
      <w:r w:rsidRPr="0019186D">
        <w:rPr>
          <w:rFonts w:cs="Arial"/>
          <w:sz w:val="20"/>
          <w:szCs w:val="20"/>
        </w:rPr>
        <w:t>Ésta es de 37% en un periodo de 18 años (1984-2001), es decir, se registraron 338 alumnos y 123 obtuvieron el grado</w:t>
      </w:r>
    </w:p>
    <w:p w:rsidR="001C3F30" w:rsidRPr="0019186D" w:rsidRDefault="001C3F30" w:rsidP="00E16642">
      <w:pPr>
        <w:rPr>
          <w:rFonts w:cs="Arial"/>
          <w:sz w:val="20"/>
          <w:szCs w:val="20"/>
        </w:rPr>
      </w:pPr>
    </w:p>
    <w:p w:rsidR="001C3F30" w:rsidRPr="0019186D" w:rsidRDefault="001C3F30" w:rsidP="00E16642">
      <w:pPr>
        <w:rPr>
          <w:rFonts w:cs="Arial"/>
          <w:sz w:val="20"/>
          <w:szCs w:val="20"/>
        </w:rPr>
      </w:pPr>
      <w:r w:rsidRPr="0019186D">
        <w:rPr>
          <w:rFonts w:cs="Arial"/>
          <w:sz w:val="20"/>
          <w:szCs w:val="20"/>
        </w:rPr>
        <w:t>DEL SEGUIMIENTO DE EGRESADOS:</w:t>
      </w:r>
    </w:p>
    <w:p w:rsidR="001C3F30" w:rsidRPr="0019186D" w:rsidRDefault="001C3F30" w:rsidP="00E16642">
      <w:pPr>
        <w:pStyle w:val="Prrafodelista"/>
        <w:numPr>
          <w:ilvl w:val="0"/>
          <w:numId w:val="2"/>
        </w:numPr>
        <w:rPr>
          <w:rFonts w:cs="Arial"/>
          <w:sz w:val="20"/>
          <w:szCs w:val="20"/>
        </w:rPr>
      </w:pPr>
      <w:r w:rsidRPr="0019186D">
        <w:rPr>
          <w:rFonts w:cs="Arial"/>
          <w:sz w:val="20"/>
          <w:szCs w:val="20"/>
        </w:rPr>
        <w:t>ámbito laboral:</w:t>
      </w:r>
    </w:p>
    <w:p w:rsidR="001C3F30" w:rsidRPr="0019186D" w:rsidRDefault="001C3F30" w:rsidP="00E16642">
      <w:pPr>
        <w:pStyle w:val="Prrafodelista"/>
        <w:numPr>
          <w:ilvl w:val="1"/>
          <w:numId w:val="1"/>
        </w:numPr>
        <w:rPr>
          <w:rFonts w:cs="Arial"/>
          <w:sz w:val="20"/>
          <w:szCs w:val="20"/>
        </w:rPr>
      </w:pPr>
      <w:r w:rsidRPr="0019186D">
        <w:rPr>
          <w:rFonts w:cs="Arial"/>
          <w:sz w:val="20"/>
          <w:szCs w:val="20"/>
        </w:rPr>
        <w:t>57%, es decir, 69 laboran en instituciones mexicanas, tanto en la zona metropolitana como en diferentes estados de la República.</w:t>
      </w:r>
    </w:p>
    <w:p w:rsidR="001C3F30" w:rsidRPr="0019186D" w:rsidRDefault="001C3F30" w:rsidP="00E16642">
      <w:pPr>
        <w:pStyle w:val="Prrafodelista"/>
        <w:numPr>
          <w:ilvl w:val="1"/>
          <w:numId w:val="1"/>
        </w:numPr>
        <w:rPr>
          <w:rFonts w:cs="Arial"/>
          <w:sz w:val="20"/>
          <w:szCs w:val="20"/>
        </w:rPr>
      </w:pPr>
      <w:r w:rsidRPr="0019186D">
        <w:rPr>
          <w:rFonts w:cs="Arial"/>
          <w:sz w:val="20"/>
          <w:szCs w:val="20"/>
        </w:rPr>
        <w:t>43%, es decir, 54 laboran en el IPN</w:t>
      </w:r>
    </w:p>
    <w:p w:rsidR="001C3F30" w:rsidRPr="0019186D" w:rsidRDefault="001C3F30" w:rsidP="00E16642">
      <w:pPr>
        <w:pStyle w:val="Prrafodelista"/>
        <w:numPr>
          <w:ilvl w:val="0"/>
          <w:numId w:val="2"/>
        </w:numPr>
        <w:rPr>
          <w:rFonts w:cs="Arial"/>
          <w:sz w:val="20"/>
          <w:szCs w:val="20"/>
        </w:rPr>
      </w:pPr>
      <w:r w:rsidRPr="0019186D">
        <w:rPr>
          <w:rFonts w:cs="Arial"/>
          <w:sz w:val="20"/>
          <w:szCs w:val="20"/>
        </w:rPr>
        <w:t>Estudios posteriores</w:t>
      </w:r>
    </w:p>
    <w:p w:rsidR="001C3F30" w:rsidRPr="0019186D" w:rsidRDefault="001C3F30" w:rsidP="00E16642">
      <w:pPr>
        <w:pStyle w:val="Prrafodelista"/>
        <w:numPr>
          <w:ilvl w:val="1"/>
          <w:numId w:val="1"/>
        </w:numPr>
        <w:rPr>
          <w:rFonts w:cs="Arial"/>
          <w:sz w:val="20"/>
          <w:szCs w:val="20"/>
        </w:rPr>
      </w:pPr>
      <w:r w:rsidRPr="0019186D">
        <w:rPr>
          <w:rFonts w:cs="Arial"/>
          <w:sz w:val="20"/>
          <w:szCs w:val="20"/>
        </w:rPr>
        <w:t>22% continuó estudios de doctorado, 24 en México y 3 en el extranjero</w:t>
      </w:r>
    </w:p>
    <w:p w:rsidR="001C3F30" w:rsidRPr="0019186D" w:rsidRDefault="001C3F30" w:rsidP="00E16642">
      <w:pPr>
        <w:rPr>
          <w:rFonts w:cs="Arial"/>
          <w:sz w:val="20"/>
          <w:szCs w:val="20"/>
        </w:rPr>
      </w:pPr>
      <w:r w:rsidRPr="0019186D">
        <w:rPr>
          <w:rFonts w:cs="Arial"/>
          <w:sz w:val="20"/>
          <w:szCs w:val="20"/>
        </w:rPr>
        <w:t>Pero los autores indican que no se pudo aclarar la existencia de un programa formal de seguimiento de egresados.</w:t>
      </w:r>
    </w:p>
    <w:p w:rsidR="001C3F30" w:rsidRPr="0019186D" w:rsidRDefault="001C3F30" w:rsidP="00E16642">
      <w:pPr>
        <w:rPr>
          <w:rFonts w:cs="Arial"/>
          <w:sz w:val="20"/>
          <w:szCs w:val="20"/>
        </w:rPr>
      </w:pPr>
    </w:p>
    <w:p w:rsidR="001C3F30" w:rsidRPr="008F5862" w:rsidRDefault="001C3F30" w:rsidP="00E16642">
      <w:pPr>
        <w:rPr>
          <w:b/>
          <w:sz w:val="22"/>
        </w:rPr>
      </w:pPr>
      <w:bookmarkStart w:id="57" w:name="_Toc243070778"/>
      <w:bookmarkStart w:id="58" w:name="_Toc250459196"/>
      <w:r w:rsidRPr="008F5862">
        <w:rPr>
          <w:b/>
          <w:sz w:val="22"/>
        </w:rPr>
        <w:t>Recomendaciones</w:t>
      </w:r>
      <w:r w:rsidRPr="008F5862">
        <w:rPr>
          <w:rStyle w:val="Refdenotaalpie"/>
          <w:rFonts w:cs="Arial"/>
          <w:b/>
          <w:sz w:val="22"/>
        </w:rPr>
        <w:footnoteReference w:id="27"/>
      </w:r>
      <w:bookmarkEnd w:id="57"/>
      <w:bookmarkEnd w:id="58"/>
    </w:p>
    <w:p w:rsidR="001C3F30" w:rsidRPr="0019186D" w:rsidRDefault="001C3F30" w:rsidP="00E16642">
      <w:pPr>
        <w:pStyle w:val="Prrafodelista"/>
        <w:numPr>
          <w:ilvl w:val="0"/>
          <w:numId w:val="1"/>
        </w:numPr>
        <w:rPr>
          <w:rFonts w:cs="Arial"/>
          <w:sz w:val="20"/>
          <w:szCs w:val="20"/>
        </w:rPr>
      </w:pPr>
      <w:r w:rsidRPr="0019186D">
        <w:rPr>
          <w:rFonts w:cs="Arial"/>
          <w:sz w:val="20"/>
          <w:szCs w:val="20"/>
        </w:rPr>
        <w:t xml:space="preserve">realizar una reforma y actualización a la </w:t>
      </w:r>
      <w:proofErr w:type="spellStart"/>
      <w:r w:rsidRPr="0019186D">
        <w:rPr>
          <w:rFonts w:cs="Arial"/>
          <w:sz w:val="20"/>
          <w:szCs w:val="20"/>
        </w:rPr>
        <w:t>currícula</w:t>
      </w:r>
      <w:proofErr w:type="spellEnd"/>
      <w:r w:rsidRPr="0019186D">
        <w:rPr>
          <w:rFonts w:cs="Arial"/>
          <w:sz w:val="20"/>
          <w:szCs w:val="20"/>
        </w:rPr>
        <w:t xml:space="preserve"> que no sea </w:t>
      </w:r>
      <w:r w:rsidR="00AB32CA">
        <w:rPr>
          <w:rFonts w:cs="Arial"/>
          <w:sz w:val="20"/>
          <w:szCs w:val="20"/>
        </w:rPr>
        <w:t>solo</w:t>
      </w:r>
      <w:r w:rsidRPr="0019186D">
        <w:rPr>
          <w:rFonts w:cs="Arial"/>
          <w:sz w:val="20"/>
          <w:szCs w:val="20"/>
        </w:rPr>
        <w:t xml:space="preserve"> una actualización a los programas de las asignaturas impartidas, </w:t>
      </w:r>
    </w:p>
    <w:p w:rsidR="001C3F30" w:rsidRPr="0019186D" w:rsidRDefault="001C3F30" w:rsidP="00E16642">
      <w:pPr>
        <w:rPr>
          <w:rFonts w:cs="Arial"/>
          <w:sz w:val="20"/>
          <w:szCs w:val="20"/>
        </w:rPr>
      </w:pPr>
    </w:p>
    <w:p w:rsidR="001C3F30" w:rsidRPr="0019186D" w:rsidRDefault="001C3F30" w:rsidP="00E16642">
      <w:pPr>
        <w:pStyle w:val="Prrafodelista"/>
        <w:numPr>
          <w:ilvl w:val="0"/>
          <w:numId w:val="1"/>
        </w:numPr>
        <w:rPr>
          <w:rFonts w:cs="Arial"/>
          <w:sz w:val="20"/>
          <w:szCs w:val="20"/>
        </w:rPr>
      </w:pPr>
      <w:r w:rsidRPr="0019186D">
        <w:rPr>
          <w:rFonts w:cs="Arial"/>
          <w:sz w:val="20"/>
          <w:szCs w:val="20"/>
        </w:rPr>
        <w:t>la urgencia de definir y consolidar las líneas de investigación que sustenten un programa moderno de posgrado</w:t>
      </w:r>
    </w:p>
    <w:p w:rsidR="001C3F30" w:rsidRPr="0019186D" w:rsidRDefault="001C3F30" w:rsidP="00E16642">
      <w:pPr>
        <w:pStyle w:val="Prrafodelista"/>
        <w:rPr>
          <w:rFonts w:cs="Arial"/>
          <w:sz w:val="20"/>
          <w:szCs w:val="20"/>
        </w:rPr>
      </w:pPr>
    </w:p>
    <w:p w:rsidR="001C3F30" w:rsidRPr="0019186D" w:rsidRDefault="001C3F30" w:rsidP="00E16642">
      <w:pPr>
        <w:pStyle w:val="Prrafodelista"/>
        <w:numPr>
          <w:ilvl w:val="0"/>
          <w:numId w:val="1"/>
        </w:numPr>
        <w:rPr>
          <w:rFonts w:cs="Arial"/>
          <w:sz w:val="20"/>
          <w:szCs w:val="20"/>
        </w:rPr>
      </w:pPr>
      <w:r w:rsidRPr="0019186D">
        <w:rPr>
          <w:rFonts w:cs="Arial"/>
          <w:sz w:val="20"/>
          <w:szCs w:val="20"/>
        </w:rPr>
        <w:t>la importancia de dirigir la función docente de la planta profesoral a una profesionalización en las disciplinas comprometidas con la orientación del Programa</w:t>
      </w:r>
    </w:p>
    <w:p w:rsidR="001C3F30" w:rsidRPr="0019186D" w:rsidRDefault="001C3F30" w:rsidP="00E16642">
      <w:pPr>
        <w:pStyle w:val="Prrafodelista"/>
        <w:rPr>
          <w:rFonts w:cs="Arial"/>
          <w:sz w:val="20"/>
          <w:szCs w:val="20"/>
        </w:rPr>
      </w:pPr>
    </w:p>
    <w:p w:rsidR="001C3F30" w:rsidRPr="0019186D" w:rsidRDefault="001C3F30" w:rsidP="00E16642">
      <w:pPr>
        <w:pStyle w:val="Prrafodelista"/>
        <w:numPr>
          <w:ilvl w:val="0"/>
          <w:numId w:val="1"/>
        </w:numPr>
        <w:rPr>
          <w:rFonts w:cs="Arial"/>
          <w:sz w:val="20"/>
          <w:szCs w:val="20"/>
        </w:rPr>
      </w:pPr>
      <w:r w:rsidRPr="0019186D">
        <w:rPr>
          <w:rFonts w:cs="Arial"/>
          <w:sz w:val="20"/>
          <w:szCs w:val="20"/>
        </w:rPr>
        <w:lastRenderedPageBreak/>
        <w:t>de consolidar la producción científica de la planta profesoral en aspectos nítidamente definibles como temas prioritarios de la epistemología y las metodologías de la investigación</w:t>
      </w:r>
    </w:p>
    <w:p w:rsidR="001C3F30" w:rsidRPr="0019186D" w:rsidRDefault="001C3F30" w:rsidP="00E16642">
      <w:pPr>
        <w:pStyle w:val="Prrafodelista"/>
        <w:rPr>
          <w:rFonts w:cs="Arial"/>
          <w:sz w:val="20"/>
          <w:szCs w:val="20"/>
        </w:rPr>
      </w:pPr>
    </w:p>
    <w:p w:rsidR="001C3F30" w:rsidRPr="0019186D" w:rsidRDefault="001C3F30" w:rsidP="00E16642">
      <w:pPr>
        <w:pStyle w:val="Prrafodelista"/>
        <w:numPr>
          <w:ilvl w:val="0"/>
          <w:numId w:val="1"/>
        </w:numPr>
        <w:rPr>
          <w:rFonts w:cs="Arial"/>
          <w:sz w:val="20"/>
          <w:szCs w:val="20"/>
        </w:rPr>
      </w:pPr>
      <w:r w:rsidRPr="0019186D">
        <w:rPr>
          <w:rFonts w:cs="Arial"/>
          <w:sz w:val="20"/>
          <w:szCs w:val="20"/>
        </w:rPr>
        <w:t>de orientar los trabajos de tesis de los estudiantes en la investigación de las temáticas reales de las disciplinas incluidas en la vocación de la Maestría.</w:t>
      </w:r>
    </w:p>
    <w:p w:rsidR="001C3F30" w:rsidRPr="0019186D" w:rsidRDefault="001C3F30" w:rsidP="00E16642">
      <w:pPr>
        <w:pStyle w:val="Prrafodelista"/>
        <w:rPr>
          <w:rFonts w:cs="Arial"/>
          <w:sz w:val="20"/>
          <w:szCs w:val="20"/>
        </w:rPr>
      </w:pPr>
    </w:p>
    <w:p w:rsidR="001C3F30" w:rsidRPr="0019186D" w:rsidRDefault="001C3F30" w:rsidP="00E16642">
      <w:pPr>
        <w:pStyle w:val="Prrafodelista"/>
        <w:numPr>
          <w:ilvl w:val="0"/>
          <w:numId w:val="1"/>
        </w:numPr>
        <w:rPr>
          <w:rFonts w:cs="Arial"/>
          <w:sz w:val="20"/>
          <w:szCs w:val="20"/>
        </w:rPr>
      </w:pPr>
    </w:p>
    <w:p w:rsidR="001C3F30" w:rsidRPr="0019186D" w:rsidRDefault="001C3F30" w:rsidP="00E16642">
      <w:pPr>
        <w:rPr>
          <w:rFonts w:cs="Arial"/>
          <w:sz w:val="20"/>
          <w:szCs w:val="20"/>
        </w:rPr>
      </w:pPr>
      <w:r w:rsidRPr="0019186D">
        <w:rPr>
          <w:rFonts w:cs="Arial"/>
          <w:sz w:val="20"/>
          <w:szCs w:val="20"/>
        </w:rPr>
        <w:t>[…] sugerimos la renovación de la Maestría en sus diferentes aspectos estructurales programáticos, curriculares y docentes; así como de la orientación de la investigación y la producción científica certificada de sus investigadores y las tesis desarrolladas de acuerdo a los objetivos del Programa.</w:t>
      </w:r>
    </w:p>
    <w:p w:rsidR="001C3F30" w:rsidRPr="0019186D" w:rsidRDefault="001C3F30" w:rsidP="00E16642">
      <w:pPr>
        <w:rPr>
          <w:rFonts w:cs="Arial"/>
          <w:sz w:val="20"/>
          <w:szCs w:val="20"/>
        </w:rPr>
      </w:pPr>
    </w:p>
    <w:p w:rsidR="001C3F30" w:rsidRDefault="001C3F30" w:rsidP="00E16642">
      <w:pPr>
        <w:rPr>
          <w:i/>
        </w:rPr>
      </w:pPr>
      <w:r w:rsidRPr="0019186D">
        <w:rPr>
          <w:rFonts w:cs="Arial"/>
          <w:i/>
          <w:sz w:val="20"/>
          <w:szCs w:val="20"/>
        </w:rPr>
        <w:t>A pesar de los datos presentados en esta evaluación los cuales fueron válidos para esas fechas, no se considera que pueda dar argumentos válidos para el análisis que requiere la MCMC actualmente, sin embargo, pueden ser base para los criterios que se deben examinar ante la etapa vigente de la maestría.</w:t>
      </w:r>
    </w:p>
    <w:p w:rsidR="0085400D" w:rsidRDefault="001C3F30" w:rsidP="00E16642">
      <w:pPr>
        <w:spacing w:after="200"/>
        <w:jc w:val="left"/>
        <w:sectPr w:rsidR="0085400D" w:rsidSect="0085400D">
          <w:headerReference w:type="default" r:id="rId46"/>
          <w:pgSz w:w="12240" w:h="15840" w:code="1"/>
          <w:pgMar w:top="1418" w:right="1701" w:bottom="1418" w:left="1701" w:header="709" w:footer="709" w:gutter="0"/>
          <w:cols w:space="708"/>
          <w:docGrid w:linePitch="360"/>
        </w:sectPr>
      </w:pPr>
      <w:r>
        <w:br w:type="page"/>
      </w:r>
    </w:p>
    <w:p w:rsidR="00751A71" w:rsidRDefault="00153D7F" w:rsidP="00E16642">
      <w:pPr>
        <w:pStyle w:val="Ttulo1"/>
      </w:pPr>
      <w:bookmarkStart w:id="59" w:name="_Toc308691498"/>
      <w:r>
        <w:lastRenderedPageBreak/>
        <w:t>Referencias</w:t>
      </w:r>
      <w:bookmarkEnd w:id="59"/>
    </w:p>
    <w:sdt>
      <w:sdtPr>
        <w:rPr>
          <w:rFonts w:eastAsiaTheme="minorHAnsi" w:cstheme="minorBidi"/>
          <w:b w:val="0"/>
          <w:bCs w:val="0"/>
          <w:szCs w:val="22"/>
        </w:rPr>
        <w:id w:val="5190621"/>
        <w:docPartObj>
          <w:docPartGallery w:val="Bibliographies"/>
          <w:docPartUnique/>
        </w:docPartObj>
      </w:sdtPr>
      <w:sdtEndPr>
        <w:rPr>
          <w:lang w:val="es-ES"/>
        </w:rPr>
      </w:sdtEndPr>
      <w:sdtContent>
        <w:p w:rsidR="00A87A92" w:rsidRDefault="00A87A92" w:rsidP="00E16642">
          <w:pPr>
            <w:pStyle w:val="Ttulo1"/>
            <w:jc w:val="both"/>
          </w:pPr>
        </w:p>
        <w:p w:rsidR="00A87A92" w:rsidRDefault="0072146B" w:rsidP="00E16642">
          <w:pPr>
            <w:pStyle w:val="Bibliografa"/>
            <w:ind w:left="708" w:hanging="708"/>
            <w:rPr>
              <w:noProof/>
            </w:rPr>
          </w:pPr>
          <w:r>
            <w:rPr>
              <w:lang w:val="es-ES"/>
            </w:rPr>
            <w:fldChar w:fldCharType="begin"/>
          </w:r>
          <w:r w:rsidR="00A87A92">
            <w:rPr>
              <w:lang w:val="es-ES"/>
            </w:rPr>
            <w:instrText xml:space="preserve"> BIBLIOGRAPHY </w:instrText>
          </w:r>
          <w:r>
            <w:rPr>
              <w:lang w:val="es-ES"/>
            </w:rPr>
            <w:fldChar w:fldCharType="separate"/>
          </w:r>
          <w:r w:rsidR="00A87A92">
            <w:rPr>
              <w:noProof/>
            </w:rPr>
            <w:t xml:space="preserve">Acevedo Díaz, J. A., Vázquez Alonso, Á., Manassero Más, M. A., &amp; Acevedo Romero, P. (2007). Consensos sobre la naturaleza de la ciencia: aspectos epistemológicos. (A. d. Eureka, Ed.) </w:t>
          </w:r>
          <w:r w:rsidR="00A87A92">
            <w:rPr>
              <w:i/>
              <w:iCs/>
              <w:noProof/>
            </w:rPr>
            <w:t>Revista Eureka sobre enseñanza y divulgación de las ciencias</w:t>
          </w:r>
          <w:r w:rsidR="00A87A92">
            <w:rPr>
              <w:noProof/>
            </w:rPr>
            <w:t xml:space="preserve"> </w:t>
          </w:r>
          <w:r w:rsidR="00A87A92">
            <w:rPr>
              <w:i/>
              <w:iCs/>
              <w:noProof/>
            </w:rPr>
            <w:t>, 4</w:t>
          </w:r>
          <w:r w:rsidR="00A87A92">
            <w:rPr>
              <w:noProof/>
            </w:rPr>
            <w:t xml:space="preserve"> (2), 202-225.</w:t>
          </w:r>
        </w:p>
        <w:p w:rsidR="00A87A92" w:rsidRDefault="00A87A92" w:rsidP="00E16642">
          <w:pPr>
            <w:pStyle w:val="Bibliografa"/>
            <w:ind w:left="708" w:hanging="708"/>
            <w:rPr>
              <w:noProof/>
            </w:rPr>
          </w:pPr>
          <w:r>
            <w:rPr>
              <w:noProof/>
            </w:rPr>
            <w:t xml:space="preserve">Alcántara Santuario, A. (1995). Algunas reflexiones sobre el desarrollo de la investigación científica en la UNAM dentro de los ámbitos latinoamericano y nacional. </w:t>
          </w:r>
          <w:r>
            <w:rPr>
              <w:i/>
              <w:iCs/>
              <w:noProof/>
            </w:rPr>
            <w:t>Perfiles Educativos</w:t>
          </w:r>
          <w:r>
            <w:rPr>
              <w:noProof/>
            </w:rPr>
            <w:t xml:space="preserve"> </w:t>
          </w:r>
          <w:r>
            <w:rPr>
              <w:i/>
              <w:iCs/>
              <w:noProof/>
            </w:rPr>
            <w:t>, octubre-diciembre</w:t>
          </w:r>
          <w:r>
            <w:rPr>
              <w:noProof/>
            </w:rPr>
            <w:t xml:space="preserve"> </w:t>
          </w:r>
          <w:r>
            <w:rPr>
              <w:i/>
              <w:iCs/>
              <w:noProof/>
            </w:rPr>
            <w:t>(70)</w:t>
          </w:r>
          <w:r>
            <w:rPr>
              <w:noProof/>
            </w:rPr>
            <w:t xml:space="preserve"> . (U. N. México, Ed.) D. F., México.</w:t>
          </w:r>
        </w:p>
        <w:p w:rsidR="00A87A92" w:rsidRDefault="00A87A92" w:rsidP="00E16642">
          <w:pPr>
            <w:pStyle w:val="Bibliografa"/>
            <w:ind w:left="708" w:hanging="708"/>
            <w:rPr>
              <w:noProof/>
            </w:rPr>
          </w:pPr>
          <w:r>
            <w:rPr>
              <w:noProof/>
            </w:rPr>
            <w:t xml:space="preserve">Álvarez Bruneliere, S. (Noviembre de 2003). </w:t>
          </w:r>
          <w:r>
            <w:rPr>
              <w:i/>
              <w:iCs/>
              <w:noProof/>
            </w:rPr>
            <w:t>Apoyo y Fomento a Programas de Posgrado de Calidad.</w:t>
          </w:r>
          <w:r>
            <w:rPr>
              <w:noProof/>
            </w:rPr>
            <w:t xml:space="preserve"> Recuperado el 20 de Diciembre de 2009, de Conferencia Nacional de Ciencia y Tecnología: www.conacyt.gob.mx/.../Ponencia%20Mtra.%20Silvia%20%C1lvarez_APOYO%20Y%20FOMENTO%20final.ppt</w:t>
          </w:r>
        </w:p>
        <w:p w:rsidR="00A87A92" w:rsidRDefault="00A87A92" w:rsidP="00E16642">
          <w:pPr>
            <w:pStyle w:val="Bibliografa"/>
            <w:ind w:left="708" w:hanging="708"/>
            <w:rPr>
              <w:noProof/>
            </w:rPr>
          </w:pPr>
          <w:r>
            <w:rPr>
              <w:noProof/>
            </w:rPr>
            <w:t xml:space="preserve">Álvarez Bruneliere, S., &amp; Ponce Ramírez, L. (2010). </w:t>
          </w:r>
          <w:r>
            <w:rPr>
              <w:i/>
              <w:iCs/>
              <w:noProof/>
            </w:rPr>
            <w:t>Programa Nacional de Posgrados de Calidad.</w:t>
          </w:r>
          <w:r>
            <w:rPr>
              <w:noProof/>
            </w:rPr>
            <w:t xml:space="preserve"> México: Dirección Adjunta de Posgrado y Becas. Dirección de Posgrado.</w:t>
          </w:r>
        </w:p>
        <w:p w:rsidR="00A87A92" w:rsidRDefault="00A87A92" w:rsidP="00E16642">
          <w:pPr>
            <w:pStyle w:val="Bibliografa"/>
            <w:ind w:left="708" w:hanging="708"/>
            <w:rPr>
              <w:noProof/>
            </w:rPr>
          </w:pPr>
          <w:r>
            <w:rPr>
              <w:noProof/>
            </w:rPr>
            <w:t xml:space="preserve">Anda Gutiérrez, C. (2006). </w:t>
          </w:r>
          <w:r>
            <w:rPr>
              <w:i/>
              <w:iCs/>
              <w:noProof/>
            </w:rPr>
            <w:t>70 aniversario del Instituto Politécnico Nacional 1936-2006.</w:t>
          </w:r>
          <w:r>
            <w:rPr>
              <w:noProof/>
            </w:rPr>
            <w:t xml:space="preserve"> Recuperado el 08 de mayo de 2009, de www.publicaciones.ipn.mx/PDF/2110.pdf</w:t>
          </w:r>
        </w:p>
        <w:p w:rsidR="00A87A92" w:rsidRDefault="00A87A92" w:rsidP="00E16642">
          <w:pPr>
            <w:pStyle w:val="Bibliografa"/>
            <w:ind w:left="708" w:hanging="708"/>
            <w:rPr>
              <w:noProof/>
            </w:rPr>
          </w:pPr>
          <w:r>
            <w:rPr>
              <w:noProof/>
            </w:rPr>
            <w:t xml:space="preserve">Ander-Egg, E. (1995). </w:t>
          </w:r>
          <w:r>
            <w:rPr>
              <w:i/>
              <w:iCs/>
              <w:noProof/>
            </w:rPr>
            <w:t>Técnicas de investigación social.</w:t>
          </w:r>
          <w:r>
            <w:rPr>
              <w:noProof/>
            </w:rPr>
            <w:t xml:space="preserve"> Buenos Aires: Lumen.</w:t>
          </w:r>
        </w:p>
        <w:p w:rsidR="00A87A92" w:rsidRDefault="00A87A92" w:rsidP="00E16642">
          <w:pPr>
            <w:pStyle w:val="Bibliografa"/>
            <w:ind w:left="708" w:hanging="708"/>
            <w:rPr>
              <w:noProof/>
            </w:rPr>
          </w:pPr>
          <w:r>
            <w:rPr>
              <w:noProof/>
            </w:rPr>
            <w:t xml:space="preserve">Andión Gamboa, M. (2007). Sobre la calidad en la educación superior: una visión cualitativa. </w:t>
          </w:r>
          <w:r>
            <w:rPr>
              <w:i/>
              <w:iCs/>
              <w:noProof/>
            </w:rPr>
            <w:t>Reencuentro</w:t>
          </w:r>
          <w:r>
            <w:rPr>
              <w:noProof/>
            </w:rPr>
            <w:t xml:space="preserve"> (050), 83-92.</w:t>
          </w:r>
        </w:p>
        <w:p w:rsidR="00A87A92" w:rsidRDefault="00A87A92" w:rsidP="00E16642">
          <w:pPr>
            <w:pStyle w:val="Bibliografa"/>
            <w:ind w:left="708" w:hanging="708"/>
            <w:rPr>
              <w:noProof/>
            </w:rPr>
          </w:pPr>
          <w:r>
            <w:rPr>
              <w:noProof/>
            </w:rPr>
            <w:t xml:space="preserve">Aréchiga Urtzuástegui, H., &amp; Llarena de Thierry, R. (abril de 2003). </w:t>
          </w:r>
          <w:r>
            <w:rPr>
              <w:i/>
              <w:iCs/>
              <w:noProof/>
            </w:rPr>
            <w:t>Antecedentes, situación actual y perspectivas de la evaluación y la acreditación de la educación superior en México.</w:t>
          </w:r>
          <w:r>
            <w:rPr>
              <w:noProof/>
            </w:rPr>
            <w:t xml:space="preserve"> Recuperado el 17 de agosto de 2009, de Consejo para la Acreditación de la Educación Superior, A. C.</w:t>
          </w:r>
        </w:p>
        <w:p w:rsidR="00A87A92" w:rsidRDefault="00A87A92" w:rsidP="00E16642">
          <w:pPr>
            <w:pStyle w:val="Bibliografa"/>
            <w:ind w:left="708" w:hanging="708"/>
            <w:rPr>
              <w:noProof/>
            </w:rPr>
          </w:pPr>
          <w:r>
            <w:rPr>
              <w:noProof/>
            </w:rPr>
            <w:t>Arellano Hernández, A., &amp; Ledesma Mateos, I. (2002). Evaluación de la maestría en metodología de la ciencia.</w:t>
          </w:r>
        </w:p>
        <w:p w:rsidR="00A87A92" w:rsidRDefault="00A87A92" w:rsidP="00E16642">
          <w:pPr>
            <w:pStyle w:val="Bibliografa"/>
            <w:ind w:left="708" w:hanging="708"/>
            <w:rPr>
              <w:noProof/>
            </w:rPr>
          </w:pPr>
          <w:r>
            <w:rPr>
              <w:noProof/>
            </w:rPr>
            <w:lastRenderedPageBreak/>
            <w:t xml:space="preserve">Arredondo Galván, V. M., &amp; Pérez Rivera, G. &amp;. (2006). Políticas del posgrado en México. </w:t>
          </w:r>
          <w:r>
            <w:rPr>
              <w:i/>
              <w:iCs/>
              <w:noProof/>
            </w:rPr>
            <w:t>Reencuentro</w:t>
          </w:r>
          <w:r>
            <w:rPr>
              <w:noProof/>
            </w:rPr>
            <w:t xml:space="preserve"> </w:t>
          </w:r>
          <w:r>
            <w:rPr>
              <w:i/>
              <w:iCs/>
              <w:noProof/>
            </w:rPr>
            <w:t>, mayo</w:t>
          </w:r>
          <w:r>
            <w:rPr>
              <w:noProof/>
            </w:rPr>
            <w:t xml:space="preserve"> (45), 1-23.</w:t>
          </w:r>
        </w:p>
        <w:p w:rsidR="00A87A92" w:rsidRDefault="00A87A92" w:rsidP="00E16642">
          <w:pPr>
            <w:pStyle w:val="Bibliografa"/>
            <w:ind w:left="708" w:hanging="708"/>
            <w:rPr>
              <w:noProof/>
            </w:rPr>
          </w:pPr>
          <w:r>
            <w:rPr>
              <w:noProof/>
            </w:rPr>
            <w:t xml:space="preserve">Bunge, M. (2000). Tres políticas de desarrollo científico. En </w:t>
          </w:r>
          <w:r>
            <w:rPr>
              <w:i/>
              <w:iCs/>
              <w:noProof/>
            </w:rPr>
            <w:t>La epistemología</w:t>
          </w:r>
          <w:r>
            <w:rPr>
              <w:noProof/>
            </w:rPr>
            <w:t xml:space="preserve"> (págs. 227-237). México: Siglo XXI.</w:t>
          </w:r>
        </w:p>
        <w:p w:rsidR="00A87A92" w:rsidRDefault="00A87A92" w:rsidP="00E16642">
          <w:pPr>
            <w:pStyle w:val="Bibliografa"/>
            <w:ind w:left="708" w:hanging="708"/>
            <w:rPr>
              <w:noProof/>
            </w:rPr>
          </w:pPr>
          <w:r>
            <w:rPr>
              <w:noProof/>
            </w:rPr>
            <w:t xml:space="preserve">Cabrero Mendoza, E., Valadés, D., &amp; López Ayllón, S. (2006). </w:t>
          </w:r>
          <w:r>
            <w:rPr>
              <w:i/>
              <w:iCs/>
              <w:noProof/>
            </w:rPr>
            <w:t>El diseño institucional de la política de ciencia y tecnología en México.</w:t>
          </w:r>
          <w:r>
            <w:rPr>
              <w:noProof/>
            </w:rPr>
            <w:t xml:space="preserve"> Mexico: Universidad Nacional Autónoma de México, Centor de Investigación y Docencia Económicas.</w:t>
          </w:r>
        </w:p>
        <w:p w:rsidR="00A87A92" w:rsidRDefault="00A87A92" w:rsidP="00E16642">
          <w:pPr>
            <w:pStyle w:val="Bibliografa"/>
            <w:ind w:left="708" w:hanging="708"/>
            <w:rPr>
              <w:noProof/>
            </w:rPr>
          </w:pPr>
          <w:r>
            <w:rPr>
              <w:noProof/>
            </w:rPr>
            <w:t xml:space="preserve">Castillo García, L. (2003). Orenamiento del conocimiento. </w:t>
          </w:r>
          <w:r>
            <w:rPr>
              <w:i/>
              <w:iCs/>
              <w:noProof/>
            </w:rPr>
            <w:t>Siglo XXI</w:t>
          </w:r>
          <w:r>
            <w:rPr>
              <w:noProof/>
            </w:rPr>
            <w:t xml:space="preserve"> .</w:t>
          </w:r>
        </w:p>
        <w:p w:rsidR="00A87A92" w:rsidRDefault="00A87A92" w:rsidP="00E16642">
          <w:pPr>
            <w:pStyle w:val="Bibliografa"/>
            <w:ind w:left="708" w:hanging="708"/>
            <w:rPr>
              <w:noProof/>
            </w:rPr>
          </w:pPr>
          <w:r>
            <w:rPr>
              <w:noProof/>
            </w:rPr>
            <w:t xml:space="preserve">Castillo García, L., &amp; Manrique Nava, C. (1996). Avances de investigación y desarrollo tecnológico vía los seminarios departamentales: algunos casos en el IPN. </w:t>
          </w:r>
          <w:r>
            <w:rPr>
              <w:i/>
              <w:iCs/>
              <w:noProof/>
            </w:rPr>
            <w:t>Omnia</w:t>
          </w:r>
          <w:r>
            <w:rPr>
              <w:noProof/>
            </w:rPr>
            <w:t xml:space="preserve"> (36-37).</w:t>
          </w:r>
        </w:p>
        <w:p w:rsidR="00A87A92" w:rsidRDefault="00A87A92" w:rsidP="00E16642">
          <w:pPr>
            <w:pStyle w:val="Bibliografa"/>
            <w:ind w:left="708" w:hanging="708"/>
            <w:rPr>
              <w:noProof/>
            </w:rPr>
          </w:pPr>
          <w:r>
            <w:rPr>
              <w:noProof/>
            </w:rPr>
            <w:t xml:space="preserve">Castillo García, L., Manrique Nava, C., &amp; Gamboa Villafranca, X. (1995). Apoyos para la competitividad de los posgrados nacionales de la Maestría en Metodología de la Ciencia IPN. </w:t>
          </w:r>
          <w:r>
            <w:rPr>
              <w:i/>
              <w:iCs/>
              <w:noProof/>
            </w:rPr>
            <w:t>Omnia</w:t>
          </w:r>
          <w:r>
            <w:rPr>
              <w:noProof/>
            </w:rPr>
            <w:t xml:space="preserve"> </w:t>
          </w:r>
          <w:r>
            <w:rPr>
              <w:i/>
              <w:iCs/>
              <w:noProof/>
            </w:rPr>
            <w:t>, 11</w:t>
          </w:r>
          <w:r>
            <w:rPr>
              <w:noProof/>
            </w:rPr>
            <w:t xml:space="preserve"> (32).</w:t>
          </w:r>
        </w:p>
        <w:p w:rsidR="00A87A92" w:rsidRDefault="00A87A92" w:rsidP="00E16642">
          <w:pPr>
            <w:pStyle w:val="Bibliografa"/>
            <w:ind w:left="708" w:hanging="708"/>
            <w:rPr>
              <w:noProof/>
            </w:rPr>
          </w:pPr>
          <w:r>
            <w:rPr>
              <w:noProof/>
            </w:rPr>
            <w:t>CIECAS. (15 de abril de 2011). Acuerdos Sesión IV Ordinaria 15 de abril 2011.</w:t>
          </w:r>
        </w:p>
        <w:p w:rsidR="00A87A92" w:rsidRDefault="00A87A92" w:rsidP="00E16642">
          <w:pPr>
            <w:pStyle w:val="Bibliografa"/>
            <w:ind w:left="708" w:hanging="708"/>
            <w:rPr>
              <w:noProof/>
            </w:rPr>
          </w:pPr>
          <w:r>
            <w:rPr>
              <w:noProof/>
            </w:rPr>
            <w:t xml:space="preserve">CIECAS. (24 de marzo de 2009). </w:t>
          </w:r>
          <w:r>
            <w:rPr>
              <w:i/>
              <w:iCs/>
              <w:noProof/>
            </w:rPr>
            <w:t>Centro de Investigaciones Económicas, Administrativas y Sociales</w:t>
          </w:r>
          <w:r>
            <w:rPr>
              <w:noProof/>
            </w:rPr>
            <w:t>. Recuperado el 10 de octubre de 2009, de http://www.ciecas.ipn.mx/</w:t>
          </w:r>
        </w:p>
        <w:p w:rsidR="00A87A92" w:rsidRDefault="00A87A92" w:rsidP="00E16642">
          <w:pPr>
            <w:pStyle w:val="Bibliografa"/>
            <w:ind w:left="708" w:hanging="708"/>
            <w:rPr>
              <w:noProof/>
            </w:rPr>
          </w:pPr>
          <w:r>
            <w:rPr>
              <w:noProof/>
            </w:rPr>
            <w:t xml:space="preserve">CIECAS. (24 de abril de 2011). </w:t>
          </w:r>
          <w:r>
            <w:rPr>
              <w:i/>
              <w:iCs/>
              <w:noProof/>
            </w:rPr>
            <w:t>Centro de Investigaciones Económicas, Administrativas y Sociales</w:t>
          </w:r>
          <w:r>
            <w:rPr>
              <w:noProof/>
            </w:rPr>
            <w:t>. Recuperado el 10 de mayo de 2011, de http://www.ciecas.ipn.mx/</w:t>
          </w:r>
        </w:p>
        <w:p w:rsidR="00A87A92" w:rsidRDefault="00A87A92" w:rsidP="00E16642">
          <w:pPr>
            <w:pStyle w:val="Bibliografa"/>
            <w:ind w:left="708" w:hanging="708"/>
            <w:rPr>
              <w:noProof/>
            </w:rPr>
          </w:pPr>
          <w:r>
            <w:rPr>
              <w:noProof/>
            </w:rPr>
            <w:t>CIECAS. (2007). Convocatoria 2008-2010. México.</w:t>
          </w:r>
        </w:p>
        <w:p w:rsidR="00A87A92" w:rsidRDefault="00A87A92" w:rsidP="00E16642">
          <w:pPr>
            <w:pStyle w:val="Bibliografa"/>
            <w:ind w:left="708" w:hanging="708"/>
            <w:rPr>
              <w:noProof/>
            </w:rPr>
          </w:pPr>
          <w:r>
            <w:rPr>
              <w:noProof/>
            </w:rPr>
            <w:t xml:space="preserve">CIECAS, I. (2010b). </w:t>
          </w:r>
          <w:r>
            <w:rPr>
              <w:i/>
              <w:iCs/>
              <w:noProof/>
            </w:rPr>
            <w:t>Covocatoria para el programa de posgrado de la M. en C. en Metodología de la Ciencia.</w:t>
          </w:r>
          <w:r>
            <w:rPr>
              <w:noProof/>
            </w:rPr>
            <w:t xml:space="preserve"> </w:t>
          </w:r>
        </w:p>
        <w:p w:rsidR="00A87A92" w:rsidRDefault="00A87A92" w:rsidP="00E16642">
          <w:pPr>
            <w:pStyle w:val="Bibliografa"/>
            <w:ind w:left="708" w:hanging="708"/>
            <w:rPr>
              <w:noProof/>
            </w:rPr>
          </w:pPr>
          <w:r>
            <w:rPr>
              <w:noProof/>
            </w:rPr>
            <w:t xml:space="preserve">CIECAS, I. (2010a). </w:t>
          </w:r>
          <w:r>
            <w:rPr>
              <w:i/>
              <w:iCs/>
              <w:noProof/>
            </w:rPr>
            <w:t>Cuadríptico Maestría en Metodología 2011-2013 CIECAS IPN.</w:t>
          </w:r>
          <w:r>
            <w:rPr>
              <w:noProof/>
            </w:rPr>
            <w:t xml:space="preserve"> Obtenido de www.ciecas.ipn.mx/.../Cuadriptico_Maestria_Metodologia_2011-2013_ CIECAS_IPN.pdf</w:t>
          </w:r>
        </w:p>
        <w:p w:rsidR="00A87A92" w:rsidRDefault="00A87A92" w:rsidP="00E16642">
          <w:pPr>
            <w:pStyle w:val="Bibliografa"/>
            <w:ind w:left="708" w:hanging="708"/>
            <w:rPr>
              <w:noProof/>
            </w:rPr>
          </w:pPr>
          <w:r>
            <w:rPr>
              <w:noProof/>
            </w:rPr>
            <w:lastRenderedPageBreak/>
            <w:t>Colegio de Profesores del PESTyC. (26 de septiembre de 1986). Acta de la XVI Sesión Ordinaria. México: Instituto Politécnico Nacional. Secretaría Académica PESTyC.</w:t>
          </w:r>
        </w:p>
        <w:p w:rsidR="00A87A92" w:rsidRDefault="00A87A92" w:rsidP="00E16642">
          <w:pPr>
            <w:pStyle w:val="Bibliografa"/>
            <w:ind w:left="708" w:hanging="708"/>
            <w:rPr>
              <w:noProof/>
            </w:rPr>
          </w:pPr>
          <w:r>
            <w:rPr>
              <w:noProof/>
            </w:rPr>
            <w:t xml:space="preserve">COMEPO. (s. a.). </w:t>
          </w:r>
          <w:r>
            <w:rPr>
              <w:i/>
              <w:iCs/>
              <w:noProof/>
            </w:rPr>
            <w:t>COMEPO 10 años.</w:t>
          </w:r>
          <w:r>
            <w:rPr>
              <w:noProof/>
            </w:rPr>
            <w:t xml:space="preserve"> Recuperado el 26 de abril de 2011, de ¿Qué es el Consejo Mexicano de Estudios de Posgrado?: http://www.comepo.org.mx/index.php/que-es-el-comepo</w:t>
          </w:r>
        </w:p>
        <w:p w:rsidR="00A87A92" w:rsidRDefault="00A87A92" w:rsidP="00E16642">
          <w:pPr>
            <w:pStyle w:val="Bibliografa"/>
            <w:ind w:left="708" w:hanging="708"/>
            <w:rPr>
              <w:noProof/>
            </w:rPr>
          </w:pPr>
          <w:r>
            <w:rPr>
              <w:noProof/>
            </w:rPr>
            <w:t>COMEPO. (2007a). Estrategia Nacional de Autoevaluación de Programas de Posgrado.</w:t>
          </w:r>
        </w:p>
        <w:p w:rsidR="00A87A92" w:rsidRDefault="00A87A92" w:rsidP="00E16642">
          <w:pPr>
            <w:pStyle w:val="Bibliografa"/>
            <w:ind w:left="708" w:hanging="708"/>
            <w:rPr>
              <w:noProof/>
            </w:rPr>
          </w:pPr>
          <w:r>
            <w:rPr>
              <w:noProof/>
            </w:rPr>
            <w:t xml:space="preserve">COMEPO. (Septiembre de 2005). </w:t>
          </w:r>
          <w:r>
            <w:rPr>
              <w:i/>
              <w:iCs/>
              <w:noProof/>
            </w:rPr>
            <w:t>Informe de actividades de la Comisión de Evaluación.</w:t>
          </w:r>
          <w:r>
            <w:rPr>
              <w:noProof/>
            </w:rPr>
            <w:t xml:space="preserve"> Recuperado el 26 de Abril de 2011, de www.comunicacion.ugto.mx/comepo/comepo/.../InformeActComEva.pdf</w:t>
          </w:r>
        </w:p>
        <w:p w:rsidR="00A87A92" w:rsidRDefault="00A87A92" w:rsidP="00E16642">
          <w:pPr>
            <w:pStyle w:val="Bibliografa"/>
            <w:ind w:left="708" w:hanging="708"/>
            <w:rPr>
              <w:noProof/>
            </w:rPr>
          </w:pPr>
          <w:r>
            <w:rPr>
              <w:noProof/>
            </w:rPr>
            <w:t>COMEPO. (2007b). Plan de Desarrollo del Posgrado Nacional.</w:t>
          </w:r>
        </w:p>
        <w:p w:rsidR="00A87A92" w:rsidRDefault="00A87A92" w:rsidP="00E16642">
          <w:pPr>
            <w:pStyle w:val="Bibliografa"/>
            <w:ind w:left="708" w:hanging="708"/>
            <w:rPr>
              <w:noProof/>
            </w:rPr>
          </w:pPr>
          <w:r>
            <w:rPr>
              <w:noProof/>
            </w:rPr>
            <w:t xml:space="preserve">Comisión del Colegio de Posgrado. (2003). </w:t>
          </w:r>
          <w:r>
            <w:rPr>
              <w:i/>
              <w:iCs/>
              <w:noProof/>
            </w:rPr>
            <w:t>Reestructuración. Maestría en Ciencias en Metodología de la Ciencia.</w:t>
          </w:r>
          <w:r>
            <w:rPr>
              <w:noProof/>
            </w:rPr>
            <w:t xml:space="preserve"> México: Ciecas-IPN.</w:t>
          </w:r>
        </w:p>
        <w:p w:rsidR="00A87A92" w:rsidRDefault="00A87A92" w:rsidP="00E16642">
          <w:pPr>
            <w:pStyle w:val="Bibliografa"/>
            <w:ind w:left="708" w:hanging="708"/>
            <w:rPr>
              <w:noProof/>
            </w:rPr>
          </w:pPr>
          <w:r>
            <w:rPr>
              <w:noProof/>
            </w:rPr>
            <w:t xml:space="preserve">CONACyT &amp; SES. (2008). </w:t>
          </w:r>
          <w:r>
            <w:rPr>
              <w:i/>
              <w:iCs/>
              <w:noProof/>
            </w:rPr>
            <w:t>Marco de Referencia para la evaluación y seguimiento de programas de posgrado.</w:t>
          </w:r>
          <w:r>
            <w:rPr>
              <w:noProof/>
            </w:rPr>
            <w:t xml:space="preserve"> </w:t>
          </w:r>
        </w:p>
        <w:p w:rsidR="00A87A92" w:rsidRDefault="00A87A92" w:rsidP="00E16642">
          <w:pPr>
            <w:pStyle w:val="Bibliografa"/>
            <w:ind w:left="708" w:hanging="708"/>
            <w:rPr>
              <w:noProof/>
            </w:rPr>
          </w:pPr>
          <w:r>
            <w:rPr>
              <w:noProof/>
            </w:rPr>
            <w:t xml:space="preserve">CONACyT. (13 de Julio de 2010a). Anexo A de la Convocatoria 2010. </w:t>
          </w:r>
          <w:r>
            <w:rPr>
              <w:i/>
              <w:iCs/>
              <w:noProof/>
            </w:rPr>
            <w:t>(Versión 3)</w:t>
          </w:r>
          <w:r>
            <w:rPr>
              <w:noProof/>
            </w:rPr>
            <w:t xml:space="preserve"> .</w:t>
          </w:r>
        </w:p>
        <w:p w:rsidR="00A87A92" w:rsidRDefault="00A87A92" w:rsidP="00E16642">
          <w:pPr>
            <w:pStyle w:val="Bibliografa"/>
            <w:ind w:left="708" w:hanging="708"/>
            <w:rPr>
              <w:noProof/>
            </w:rPr>
          </w:pPr>
          <w:r>
            <w:rPr>
              <w:noProof/>
            </w:rPr>
            <w:t xml:space="preserve">CONACyT. (s. a.). </w:t>
          </w:r>
          <w:r>
            <w:rPr>
              <w:i/>
              <w:iCs/>
              <w:noProof/>
            </w:rPr>
            <w:t>Anexo: Manual para la evaluación de los programas de posgrado.</w:t>
          </w:r>
          <w:r>
            <w:rPr>
              <w:noProof/>
            </w:rPr>
            <w:t xml:space="preserve"> Recuperado el 13 de Diciembre de 2009, de www.maestriaenderecho.cucsh.udg.mx/.../EvaluacionCONACYT.pdf</w:t>
          </w:r>
        </w:p>
        <w:p w:rsidR="00A87A92" w:rsidRDefault="00A87A92" w:rsidP="00E16642">
          <w:pPr>
            <w:pStyle w:val="Bibliografa"/>
            <w:ind w:left="708" w:hanging="708"/>
            <w:rPr>
              <w:noProof/>
            </w:rPr>
          </w:pPr>
          <w:r>
            <w:rPr>
              <w:noProof/>
            </w:rPr>
            <w:t xml:space="preserve">CONACyT. (15 de Octubre de 2009a). </w:t>
          </w:r>
          <w:r>
            <w:rPr>
              <w:i/>
              <w:iCs/>
              <w:noProof/>
            </w:rPr>
            <w:t>Consejo Nacional de Ciencia y Tecnología</w:t>
          </w:r>
          <w:r>
            <w:rPr>
              <w:noProof/>
            </w:rPr>
            <w:t>. Recuperado el 28 de Octubre de 2009, de http://www.conacyt.gob.mx/Acerca/Acerca_conacyt.html</w:t>
          </w:r>
        </w:p>
        <w:p w:rsidR="00A87A92" w:rsidRDefault="00A87A92" w:rsidP="00E16642">
          <w:pPr>
            <w:pStyle w:val="Bibliografa"/>
            <w:ind w:left="708" w:hanging="708"/>
            <w:rPr>
              <w:noProof/>
            </w:rPr>
          </w:pPr>
          <w:r>
            <w:rPr>
              <w:noProof/>
            </w:rPr>
            <w:t>CONACyT. (Enero de 2011). Glosario de terminos del PNCP. México: Consejo Nacional de Ciencia y Tecnología, Subsecretaría de Educación Superior, Dirección Adjunta de Posgrado y Becas y Dirección de Posgrado.</w:t>
          </w:r>
        </w:p>
        <w:p w:rsidR="00A87A92" w:rsidRDefault="00A87A92" w:rsidP="00E16642">
          <w:pPr>
            <w:pStyle w:val="Bibliografa"/>
            <w:ind w:left="708" w:hanging="708"/>
            <w:rPr>
              <w:noProof/>
            </w:rPr>
          </w:pPr>
          <w:r>
            <w:rPr>
              <w:noProof/>
            </w:rPr>
            <w:t xml:space="preserve">CONACyT. (2006). </w:t>
          </w:r>
          <w:r>
            <w:rPr>
              <w:i/>
              <w:iCs/>
              <w:noProof/>
            </w:rPr>
            <w:t>Padrón de Excelencia.</w:t>
          </w:r>
          <w:r>
            <w:rPr>
              <w:noProof/>
            </w:rPr>
            <w:t xml:space="preserve"> Recuperado el 23 de Febrero de 2011, de http://www.conacyt.gob.mx/Becas/Posgrados_Convocatorias_2006/PE_PFPN.pdf</w:t>
          </w:r>
        </w:p>
        <w:p w:rsidR="00A87A92" w:rsidRDefault="00A87A92" w:rsidP="00E16642">
          <w:pPr>
            <w:pStyle w:val="Bibliografa"/>
            <w:ind w:left="708" w:hanging="708"/>
            <w:rPr>
              <w:noProof/>
            </w:rPr>
          </w:pPr>
          <w:r>
            <w:rPr>
              <w:noProof/>
            </w:rPr>
            <w:lastRenderedPageBreak/>
            <w:t xml:space="preserve">CONACyT. (16 de octubre de 2009b). </w:t>
          </w:r>
          <w:r>
            <w:rPr>
              <w:i/>
              <w:iCs/>
              <w:noProof/>
            </w:rPr>
            <w:t>Programa Nacional de Posgrados de Calidad</w:t>
          </w:r>
          <w:r>
            <w:rPr>
              <w:noProof/>
            </w:rPr>
            <w:t>. Recuperado el 30 de octubre de 2009, de http://www.conacyt.gob.mx/Calidad/Becas_ProgramasPosgradosNacionalesCalidad.html</w:t>
          </w:r>
        </w:p>
        <w:p w:rsidR="00A87A92" w:rsidRDefault="00A87A92" w:rsidP="00E16642">
          <w:pPr>
            <w:pStyle w:val="Bibliografa"/>
            <w:ind w:left="708" w:hanging="708"/>
            <w:rPr>
              <w:noProof/>
            </w:rPr>
          </w:pPr>
          <w:r>
            <w:rPr>
              <w:noProof/>
            </w:rPr>
            <w:t xml:space="preserve">CONACyT. (2010). </w:t>
          </w:r>
          <w:r>
            <w:rPr>
              <w:i/>
              <w:iCs/>
              <w:noProof/>
            </w:rPr>
            <w:t>Reunión con los Coordinadores Institucionales de Posgrado.</w:t>
          </w:r>
          <w:r>
            <w:rPr>
              <w:noProof/>
            </w:rPr>
            <w:t xml:space="preserve"> Recuperado el 23 de febrero de 2011, de http://www.conacyt.gob.mx/Becas/Calidad/Documents/Reunion_Coordinadores_Inst_Posgrado.pdf</w:t>
          </w:r>
        </w:p>
        <w:p w:rsidR="007915D8" w:rsidRPr="007915D8" w:rsidRDefault="007915D8" w:rsidP="007915D8">
          <w:pPr>
            <w:ind w:left="708" w:hanging="708"/>
          </w:pPr>
          <w:r w:rsidRPr="007915D8">
            <w:t xml:space="preserve">Corominas, Joan &amp; Pascual, José A. (1980). </w:t>
          </w:r>
          <w:r w:rsidRPr="007915D8">
            <w:rPr>
              <w:i/>
            </w:rPr>
            <w:t>Diccionario crítico etimológico castellano e hispánico</w:t>
          </w:r>
          <w:r w:rsidRPr="007915D8">
            <w:t>. España; Madrid: Gredos.</w:t>
          </w:r>
        </w:p>
        <w:p w:rsidR="00A87A92" w:rsidRDefault="00A87A92" w:rsidP="00E16642">
          <w:pPr>
            <w:pStyle w:val="Bibliografa"/>
            <w:ind w:left="708" w:hanging="708"/>
            <w:rPr>
              <w:noProof/>
            </w:rPr>
          </w:pPr>
          <w:r>
            <w:rPr>
              <w:noProof/>
            </w:rPr>
            <w:t xml:space="preserve">Corrales Burgueño, V. A. (Octubre de 2009). </w:t>
          </w:r>
          <w:r>
            <w:rPr>
              <w:i/>
              <w:iCs/>
              <w:noProof/>
            </w:rPr>
            <w:t>Alianzas regionales para mejorar la calidad del posgrado.</w:t>
          </w:r>
          <w:r>
            <w:rPr>
              <w:noProof/>
            </w:rPr>
            <w:t xml:space="preserve"> Recuperado el 26 de Abril de 2011, de XXIII Congreso Nacional de Posgrado: www.comunicacion.ugto.mx/comepo/comepo/.../Memoria-XXIII-CNP.pdf</w:t>
          </w:r>
        </w:p>
        <w:p w:rsidR="00A87A92" w:rsidRDefault="00A87A92" w:rsidP="00E16642">
          <w:pPr>
            <w:pStyle w:val="Bibliografa"/>
            <w:ind w:left="708" w:hanging="708"/>
            <w:rPr>
              <w:noProof/>
            </w:rPr>
          </w:pPr>
          <w:r>
            <w:rPr>
              <w:noProof/>
            </w:rPr>
            <w:t xml:space="preserve">De Gortari, E. (1980). </w:t>
          </w:r>
          <w:r>
            <w:rPr>
              <w:i/>
              <w:iCs/>
              <w:noProof/>
            </w:rPr>
            <w:t>La metodología: una discusión y otros ensayos sobre el método.</w:t>
          </w:r>
          <w:r>
            <w:rPr>
              <w:noProof/>
            </w:rPr>
            <w:t xml:space="preserve"> México: Grijalbo.</w:t>
          </w:r>
        </w:p>
        <w:p w:rsidR="00A87A92" w:rsidRDefault="00A87A92" w:rsidP="00E16642">
          <w:pPr>
            <w:pStyle w:val="Bibliografa"/>
            <w:ind w:left="708" w:hanging="708"/>
            <w:rPr>
              <w:noProof/>
            </w:rPr>
          </w:pPr>
          <w:r>
            <w:rPr>
              <w:noProof/>
            </w:rPr>
            <w:t>Díaz Barriga, Á. (junio de 2006). Indicadores para evaluar el posgrado o un problema de concepción de su papel y sus formas de evaluarlo. México: Dirección General de Estudios de Posgrado UNAM.</w:t>
          </w:r>
        </w:p>
        <w:p w:rsidR="00A87A92" w:rsidRDefault="00A87A92" w:rsidP="00E16642">
          <w:pPr>
            <w:pStyle w:val="Bibliografa"/>
            <w:ind w:left="708" w:hanging="708"/>
            <w:rPr>
              <w:noProof/>
            </w:rPr>
          </w:pPr>
          <w:r>
            <w:rPr>
              <w:i/>
              <w:noProof/>
            </w:rPr>
            <w:t xml:space="preserve">Dialéctica. </w:t>
          </w:r>
          <w:r>
            <w:rPr>
              <w:noProof/>
            </w:rPr>
            <w:t xml:space="preserve">(1976). </w:t>
          </w:r>
          <w:r>
            <w:rPr>
              <w:i/>
              <w:iCs/>
              <w:noProof/>
            </w:rPr>
            <w:t>Dialéctica</w:t>
          </w:r>
          <w:r>
            <w:rPr>
              <w:noProof/>
            </w:rPr>
            <w:t xml:space="preserve"> </w:t>
          </w:r>
          <w:r>
            <w:rPr>
              <w:i/>
              <w:iCs/>
              <w:noProof/>
            </w:rPr>
            <w:t>, 1</w:t>
          </w:r>
          <w:r>
            <w:rPr>
              <w:noProof/>
            </w:rPr>
            <w:t xml:space="preserve"> (1), 227-230.</w:t>
          </w:r>
        </w:p>
        <w:p w:rsidR="00A87A92" w:rsidRDefault="00A87A92" w:rsidP="00E16642">
          <w:pPr>
            <w:pStyle w:val="Bibliografa"/>
            <w:ind w:left="708" w:hanging="708"/>
            <w:rPr>
              <w:noProof/>
            </w:rPr>
          </w:pPr>
          <w:r>
            <w:rPr>
              <w:noProof/>
            </w:rPr>
            <w:t>Dirección de Graduados e Investigación. (8 de agosto de 1983). Dictamen que presenta la Dirección de Graduados e Investigación sobre el proyecto de instauración de cursos a nivel de Postgrado en la Sección de Graduados ESIME Culhuacán, tendiente a otorgar el diploma de Especialización en Metología de la Ciencia. México: IPN.</w:t>
          </w:r>
        </w:p>
        <w:p w:rsidR="00E16642" w:rsidRPr="00E16642" w:rsidRDefault="00E16642" w:rsidP="00E16642">
          <w:pPr>
            <w:ind w:left="708" w:hanging="708"/>
          </w:pPr>
          <w:r w:rsidRPr="00E16642">
            <w:t xml:space="preserve">Quintana Cabanas, José María. (2006). </w:t>
          </w:r>
          <w:r w:rsidRPr="00E16642">
            <w:rPr>
              <w:i/>
            </w:rPr>
            <w:t>Raíces griegas del léxico castellano científico y médico</w:t>
          </w:r>
          <w:r w:rsidRPr="00E16642">
            <w:t>. España; Madrid: Editorial Dykinson.</w:t>
          </w:r>
        </w:p>
        <w:p w:rsidR="00A87A92" w:rsidRDefault="00A87A92" w:rsidP="00E16642">
          <w:pPr>
            <w:pStyle w:val="Bibliografa"/>
            <w:ind w:left="708" w:hanging="708"/>
            <w:rPr>
              <w:noProof/>
            </w:rPr>
          </w:pPr>
          <w:r>
            <w:rPr>
              <w:noProof/>
            </w:rPr>
            <w:t xml:space="preserve">Ducoing Watty, P. (2005). En torno a las nociones de formación. </w:t>
          </w:r>
          <w:r>
            <w:rPr>
              <w:i/>
              <w:iCs/>
              <w:noProof/>
            </w:rPr>
            <w:t>La investigación educativa en México (1992-2002). Sujetos y actores en procesos de formación. Tomo II: Formación de docentes (normal y universidad) y de profesionales de la educación. Formación profesional.</w:t>
          </w:r>
          <w:r>
            <w:rPr>
              <w:noProof/>
            </w:rPr>
            <w:t xml:space="preserve"> </w:t>
          </w:r>
          <w:r>
            <w:rPr>
              <w:i/>
              <w:iCs/>
              <w:noProof/>
            </w:rPr>
            <w:t>(II)</w:t>
          </w:r>
          <w:r>
            <w:rPr>
              <w:noProof/>
            </w:rPr>
            <w:t xml:space="preserve"> , 73-170. (P. </w:t>
          </w:r>
          <w:r>
            <w:rPr>
              <w:noProof/>
            </w:rPr>
            <w:lastRenderedPageBreak/>
            <w:t>Ducoing Watty, Ed.) México: Consejo Mexicano de la Investigación Educativa.</w:t>
          </w:r>
        </w:p>
        <w:p w:rsidR="00A87A92" w:rsidRDefault="00A87A92" w:rsidP="00E16642">
          <w:pPr>
            <w:pStyle w:val="Bibliografa"/>
            <w:ind w:left="708" w:hanging="708"/>
            <w:rPr>
              <w:noProof/>
            </w:rPr>
          </w:pPr>
          <w:r>
            <w:rPr>
              <w:noProof/>
            </w:rPr>
            <w:t xml:space="preserve">Festinger, L., &amp; Katz, D. (1989). </w:t>
          </w:r>
          <w:r>
            <w:rPr>
              <w:i/>
              <w:iCs/>
              <w:noProof/>
            </w:rPr>
            <w:t>Los métodos de investigación en las Ciencias Sociales.</w:t>
          </w:r>
          <w:r>
            <w:rPr>
              <w:noProof/>
            </w:rPr>
            <w:t xml:space="preserve"> México: Paidós.</w:t>
          </w:r>
        </w:p>
        <w:p w:rsidR="00A87A92" w:rsidRDefault="00A87A92" w:rsidP="00E16642">
          <w:pPr>
            <w:pStyle w:val="Bibliografa"/>
            <w:ind w:left="708" w:hanging="708"/>
            <w:rPr>
              <w:noProof/>
            </w:rPr>
          </w:pPr>
          <w:r>
            <w:rPr>
              <w:noProof/>
            </w:rPr>
            <w:t xml:space="preserve">Gamboa Villafranca, X. (1992). </w:t>
          </w:r>
          <w:r>
            <w:rPr>
              <w:i/>
              <w:iCs/>
              <w:noProof/>
            </w:rPr>
            <w:t>Interlocutores sociales para la recuperación ecológica: un método Politécnico Morelense.</w:t>
          </w:r>
          <w:r>
            <w:rPr>
              <w:noProof/>
            </w:rPr>
            <w:t xml:space="preserve"> México: Claro oscuro. Serial cuadernos de metodología sobre investigación y desarrollo tecnológico. PESTyC.</w:t>
          </w:r>
        </w:p>
        <w:p w:rsidR="00A87A92" w:rsidRDefault="00A87A92" w:rsidP="00E16642">
          <w:pPr>
            <w:pStyle w:val="Bibliografa"/>
            <w:ind w:left="708" w:hanging="708"/>
            <w:rPr>
              <w:noProof/>
            </w:rPr>
          </w:pPr>
          <w:r>
            <w:rPr>
              <w:noProof/>
            </w:rPr>
            <w:t xml:space="preserve">Gamboa Villafranca, X. (1990). Una vertiente de vinculacion del IPN con el sector productivo: resultados de la lucha paor el cambio en la maestría en metodología de la ciencia. </w:t>
          </w:r>
          <w:r>
            <w:rPr>
              <w:i/>
              <w:iCs/>
              <w:noProof/>
            </w:rPr>
            <w:t>Omnia. Revista de la Coordinación General de Estudios de Posgrado</w:t>
          </w:r>
          <w:r>
            <w:rPr>
              <w:noProof/>
            </w:rPr>
            <w:t xml:space="preserve"> (Extraordinario).</w:t>
          </w:r>
        </w:p>
        <w:p w:rsidR="00A87A92" w:rsidRDefault="00A87A92" w:rsidP="00E16642">
          <w:pPr>
            <w:pStyle w:val="Bibliografa"/>
            <w:ind w:left="708" w:hanging="708"/>
            <w:rPr>
              <w:noProof/>
            </w:rPr>
          </w:pPr>
          <w:r>
            <w:rPr>
              <w:noProof/>
            </w:rPr>
            <w:t xml:space="preserve">Gamboa Villafranca, X., Manrique Nava, C., &amp; Castillo García, L. (1995). Investigación conjunta sobre impacto de la práctica profesional en los niveles externo (Estado de Campeche) e interno (ESIQIE-IPN). </w:t>
          </w:r>
          <w:r>
            <w:rPr>
              <w:i/>
              <w:iCs/>
              <w:noProof/>
            </w:rPr>
            <w:t>Omnia</w:t>
          </w:r>
          <w:r>
            <w:rPr>
              <w:noProof/>
            </w:rPr>
            <w:t xml:space="preserve"> (33).</w:t>
          </w:r>
        </w:p>
        <w:p w:rsidR="00A87A92" w:rsidRDefault="00A87A92" w:rsidP="00E16642">
          <w:pPr>
            <w:pStyle w:val="Bibliografa"/>
            <w:ind w:left="708" w:hanging="708"/>
            <w:rPr>
              <w:noProof/>
            </w:rPr>
          </w:pPr>
          <w:r>
            <w:rPr>
              <w:noProof/>
            </w:rPr>
            <w:t xml:space="preserve">García Avilés, A. (1997). </w:t>
          </w:r>
          <w:r>
            <w:rPr>
              <w:i/>
              <w:iCs/>
              <w:noProof/>
            </w:rPr>
            <w:t>Introducción a la metodología de la investigación científica.</w:t>
          </w:r>
          <w:r>
            <w:rPr>
              <w:noProof/>
            </w:rPr>
            <w:t xml:space="preserve"> México: Plaza y Valdés.</w:t>
          </w:r>
        </w:p>
        <w:p w:rsidR="00A87A92" w:rsidRDefault="00A87A92" w:rsidP="00E16642">
          <w:pPr>
            <w:pStyle w:val="Bibliografa"/>
            <w:ind w:left="708" w:hanging="708"/>
            <w:rPr>
              <w:noProof/>
            </w:rPr>
          </w:pPr>
          <w:r>
            <w:rPr>
              <w:noProof/>
            </w:rPr>
            <w:t xml:space="preserve">Garza Caballero, M. (s. a.). Resolución sobre Estudios de Postgrado que se ofrecerá a través del Proyecto de Estudios Sociales, Tecnológicos y Científicos, tendiente a otorgar el Diploma de Especialización en Metodología de la Ciencia. </w:t>
          </w:r>
          <w:r>
            <w:rPr>
              <w:i/>
              <w:iCs/>
              <w:noProof/>
            </w:rPr>
            <w:t>63</w:t>
          </w:r>
          <w:r>
            <w:rPr>
              <w:noProof/>
            </w:rPr>
            <w:t xml:space="preserve"> . México: Instituto Politécnico Nacional, Dirección General.</w:t>
          </w:r>
        </w:p>
        <w:p w:rsidR="00A87A92" w:rsidRDefault="00A87A92" w:rsidP="00E16642">
          <w:pPr>
            <w:pStyle w:val="Bibliografa"/>
            <w:ind w:left="708" w:hanging="708"/>
            <w:rPr>
              <w:noProof/>
            </w:rPr>
          </w:pPr>
          <w:r>
            <w:rPr>
              <w:noProof/>
            </w:rPr>
            <w:t xml:space="preserve">Gianella, E. A. (1999). La epistemología y la metodología como disciplinas. En E. R. Scarano, </w:t>
          </w:r>
          <w:r>
            <w:rPr>
              <w:i/>
              <w:iCs/>
              <w:noProof/>
            </w:rPr>
            <w:t>Metodología de las ciencias sociales. Lógica, lenguaje y racionalidad</w:t>
          </w:r>
          <w:r>
            <w:rPr>
              <w:noProof/>
            </w:rPr>
            <w:t xml:space="preserve"> (págs. 47-56). Buenos Aries, Argentina: Ediciones Macchi.</w:t>
          </w:r>
        </w:p>
        <w:p w:rsidR="00A87A92" w:rsidRDefault="00A87A92" w:rsidP="00E16642">
          <w:pPr>
            <w:pStyle w:val="Bibliografa"/>
            <w:ind w:left="708" w:hanging="708"/>
            <w:rPr>
              <w:noProof/>
            </w:rPr>
          </w:pPr>
          <w:r>
            <w:rPr>
              <w:noProof/>
            </w:rPr>
            <w:t>González García, J., Mendoza Acosta, P., &amp; Merrit Tapia, H. &amp;. (2009). Reporte de la Comisión de evaluación de la Maestría en Ciencias en Metodología de la Ciencia. México.</w:t>
          </w:r>
        </w:p>
        <w:p w:rsidR="00A87A92" w:rsidRDefault="00A87A92" w:rsidP="00E16642">
          <w:pPr>
            <w:pStyle w:val="Bibliografa"/>
            <w:ind w:left="708" w:hanging="708"/>
            <w:rPr>
              <w:noProof/>
            </w:rPr>
          </w:pPr>
          <w:r>
            <w:rPr>
              <w:noProof/>
            </w:rPr>
            <w:t xml:space="preserve">González Juárez, G. (Octubre de 2009). </w:t>
          </w:r>
          <w:r>
            <w:rPr>
              <w:i/>
              <w:iCs/>
              <w:noProof/>
            </w:rPr>
            <w:t>Consideraciones para la evaluación de los programas de posgrado del país: una visión colegiada.</w:t>
          </w:r>
          <w:r>
            <w:rPr>
              <w:noProof/>
            </w:rPr>
            <w:t xml:space="preserve"> Recuperado el </w:t>
          </w:r>
          <w:r>
            <w:rPr>
              <w:noProof/>
            </w:rPr>
            <w:lastRenderedPageBreak/>
            <w:t>26 de Abril de 2011, de XXIII Congreso Nacional de Posgrado: http://www.comepo.org.mx/images/pdf/Memoria-XXIII-CNP.pdf</w:t>
          </w:r>
        </w:p>
        <w:p w:rsidR="00A87A92" w:rsidRDefault="00A87A92" w:rsidP="00E16642">
          <w:pPr>
            <w:pStyle w:val="Bibliografa"/>
            <w:ind w:left="708" w:hanging="708"/>
            <w:rPr>
              <w:noProof/>
            </w:rPr>
          </w:pPr>
          <w:r>
            <w:rPr>
              <w:noProof/>
            </w:rPr>
            <w:t>Guerra Rodríguez, D. (1 de noviembre de 1996). Acuerdo por el que se establece el Centro de Investigaciones Económicas Administrativas y Sociales del Instituto Politécnico Nacional. Director General.</w:t>
          </w:r>
        </w:p>
        <w:p w:rsidR="00A87A92" w:rsidRDefault="00A87A92" w:rsidP="00E16642">
          <w:pPr>
            <w:pStyle w:val="Bibliografa"/>
            <w:ind w:left="708" w:hanging="708"/>
            <w:rPr>
              <w:noProof/>
            </w:rPr>
          </w:pPr>
          <w:r>
            <w:rPr>
              <w:noProof/>
            </w:rPr>
            <w:t xml:space="preserve">Gutiérrez Pantoja, G. (1984). </w:t>
          </w:r>
          <w:r>
            <w:rPr>
              <w:i/>
              <w:iCs/>
              <w:noProof/>
            </w:rPr>
            <w:t>Metodología de las ciencias sociales - i.</w:t>
          </w:r>
          <w:r>
            <w:rPr>
              <w:noProof/>
            </w:rPr>
            <w:t xml:space="preserve"> México: Editia Mexicana.</w:t>
          </w:r>
        </w:p>
        <w:p w:rsidR="00A87A92" w:rsidRDefault="00A87A92" w:rsidP="00E16642">
          <w:pPr>
            <w:pStyle w:val="Bibliografa"/>
            <w:ind w:left="708" w:hanging="708"/>
            <w:rPr>
              <w:noProof/>
            </w:rPr>
          </w:pPr>
          <w:r>
            <w:rPr>
              <w:noProof/>
            </w:rPr>
            <w:t>H. Colegio de Profesores CIECAS. (21 de mayo de 2010). Acuerdos Sesión V Ordinaria. México.</w:t>
          </w:r>
        </w:p>
        <w:p w:rsidR="00A87A92" w:rsidRDefault="00A87A92" w:rsidP="00E16642">
          <w:pPr>
            <w:pStyle w:val="Bibliografa"/>
            <w:ind w:left="708" w:hanging="708"/>
            <w:rPr>
              <w:noProof/>
            </w:rPr>
          </w:pPr>
          <w:r>
            <w:rPr>
              <w:noProof/>
            </w:rPr>
            <w:t xml:space="preserve">H. Colegio de Profesores del CIECAS. (2009). XI Sesión Ordinaria. </w:t>
          </w:r>
          <w:r>
            <w:rPr>
              <w:i/>
              <w:iCs/>
              <w:noProof/>
            </w:rPr>
            <w:t>Convocatoria 2010-2012</w:t>
          </w:r>
          <w:r>
            <w:rPr>
              <w:noProof/>
            </w:rPr>
            <w:t xml:space="preserve"> . México.</w:t>
          </w:r>
        </w:p>
        <w:p w:rsidR="00A87A92" w:rsidRDefault="00A87A92" w:rsidP="00E16642">
          <w:pPr>
            <w:pStyle w:val="Bibliografa"/>
            <w:ind w:left="708" w:hanging="708"/>
            <w:rPr>
              <w:noProof/>
            </w:rPr>
          </w:pPr>
          <w:r>
            <w:rPr>
              <w:noProof/>
            </w:rPr>
            <w:t>H. Consejo Académico de Graduados del IPN. (21 de junio de 1983). México: Escuela Superior de Comercio y Administración, IPN.</w:t>
          </w:r>
        </w:p>
        <w:p w:rsidR="00A87A92" w:rsidRDefault="00A87A92" w:rsidP="00E16642">
          <w:pPr>
            <w:pStyle w:val="Bibliografa"/>
            <w:ind w:left="708" w:hanging="708"/>
            <w:rPr>
              <w:noProof/>
            </w:rPr>
          </w:pPr>
          <w:r>
            <w:rPr>
              <w:noProof/>
            </w:rPr>
            <w:t>Hernández Jaime, J. (2007). Un diagnóstico de cultura organizacional en una institución educativa: el caso de la SEPI-UPIICSA. México: Unidad Profesional Interdisciplinaria de Ingeniería y Ciencias Sociales y Administrativas. Sección de Estudios de Posgrado e Investigación.</w:t>
          </w:r>
        </w:p>
        <w:p w:rsidR="008663E2" w:rsidRPr="008663E2" w:rsidRDefault="008663E2" w:rsidP="008663E2">
          <w:pPr>
            <w:ind w:left="708" w:hanging="708"/>
          </w:pPr>
          <w:r>
            <w:t xml:space="preserve">Hernández Berumen, José de Jesús &amp; Palomo Juárez, Sergio Humberto. (2007). </w:t>
          </w:r>
          <w:r w:rsidRPr="008663E2">
            <w:rPr>
              <w:rFonts w:cs="Arial"/>
              <w:bCs/>
              <w:szCs w:val="24"/>
            </w:rPr>
            <w:t>Los paradigmas de la Investigación en las Ciencias Administrativas</w:t>
          </w:r>
          <w:r>
            <w:rPr>
              <w:rFonts w:cs="Arial"/>
              <w:bCs/>
              <w:szCs w:val="24"/>
            </w:rPr>
            <w:t xml:space="preserve">. </w:t>
          </w:r>
          <w:r w:rsidRPr="008663E2">
            <w:rPr>
              <w:rFonts w:cs="Arial"/>
              <w:bCs/>
              <w:i/>
              <w:szCs w:val="24"/>
            </w:rPr>
            <w:t>Revista Investigación Científica</w:t>
          </w:r>
          <w:r>
            <w:rPr>
              <w:rFonts w:cs="Arial"/>
              <w:bCs/>
              <w:i/>
              <w:szCs w:val="24"/>
            </w:rPr>
            <w:t>, 3</w:t>
          </w:r>
          <w:r>
            <w:rPr>
              <w:rFonts w:cs="Arial"/>
              <w:bCs/>
              <w:szCs w:val="24"/>
            </w:rPr>
            <w:t xml:space="preserve"> (2).</w:t>
          </w:r>
        </w:p>
        <w:p w:rsidR="00A87A92" w:rsidRDefault="00A87A92" w:rsidP="00E16642">
          <w:pPr>
            <w:pStyle w:val="Bibliografa"/>
            <w:ind w:left="708" w:hanging="708"/>
            <w:rPr>
              <w:noProof/>
            </w:rPr>
          </w:pPr>
          <w:r>
            <w:rPr>
              <w:noProof/>
            </w:rPr>
            <w:t xml:space="preserve">IPN. (1985). Ley Orgánica del Instituto Politécnico Nacional. </w:t>
          </w:r>
          <w:r>
            <w:rPr>
              <w:i/>
              <w:iCs/>
              <w:noProof/>
            </w:rPr>
            <w:t>Marco jurídico. Presidencia del decanato</w:t>
          </w:r>
          <w:r>
            <w:rPr>
              <w:noProof/>
            </w:rPr>
            <w:t xml:space="preserve"> . México.</w:t>
          </w:r>
        </w:p>
        <w:p w:rsidR="00A87A92" w:rsidRDefault="00A87A92" w:rsidP="00E16642">
          <w:pPr>
            <w:pStyle w:val="Bibliografa"/>
            <w:ind w:left="708" w:hanging="708"/>
            <w:rPr>
              <w:noProof/>
            </w:rPr>
          </w:pPr>
          <w:r>
            <w:rPr>
              <w:noProof/>
            </w:rPr>
            <w:t xml:space="preserve">IPN. (1988). Reglamento de las Condiciones Interiores de Trabajo del Personal Académico del Instituto Politécnico Nacional. </w:t>
          </w:r>
          <w:r>
            <w:rPr>
              <w:i/>
              <w:iCs/>
              <w:noProof/>
            </w:rPr>
            <w:t>Gaceta Politécnica</w:t>
          </w:r>
          <w:r>
            <w:rPr>
              <w:noProof/>
            </w:rPr>
            <w:t xml:space="preserve"> . México.</w:t>
          </w:r>
        </w:p>
        <w:p w:rsidR="00A87A92" w:rsidRDefault="00A87A92" w:rsidP="00E16642">
          <w:pPr>
            <w:pStyle w:val="Bibliografa"/>
            <w:ind w:left="708" w:hanging="708"/>
            <w:rPr>
              <w:noProof/>
            </w:rPr>
          </w:pPr>
          <w:r>
            <w:rPr>
              <w:noProof/>
            </w:rPr>
            <w:t xml:space="preserve">IPN. (2003, Cuaderno 1). </w:t>
          </w:r>
          <w:r>
            <w:rPr>
              <w:i/>
              <w:iCs/>
              <w:noProof/>
            </w:rPr>
            <w:t>Un nuevo modelo educativo para el IPN.</w:t>
          </w:r>
          <w:r>
            <w:rPr>
              <w:noProof/>
            </w:rPr>
            <w:t xml:space="preserve"> Recuperado el 21 de Octubre de 2009, de Materiales para la Reforma: http://www.wps2.ipn.mx/wps/wcm/connect/secretaria_academica/SA/Inicio/Recursos_de_Informacion/</w:t>
          </w:r>
        </w:p>
        <w:p w:rsidR="00A87A92" w:rsidRDefault="00A87A92" w:rsidP="00E16642">
          <w:pPr>
            <w:pStyle w:val="Bibliografa"/>
            <w:ind w:left="708" w:hanging="708"/>
            <w:rPr>
              <w:noProof/>
            </w:rPr>
          </w:pPr>
          <w:r>
            <w:rPr>
              <w:noProof/>
            </w:rPr>
            <w:t xml:space="preserve">IPN. (2004, Cuaderno 18). </w:t>
          </w:r>
          <w:r>
            <w:rPr>
              <w:i/>
              <w:iCs/>
              <w:noProof/>
            </w:rPr>
            <w:t>La investigación y el posgrado en la estrategia general para la implantación del Nuevo Modelo Educativo y del Modelo de Integración Social.</w:t>
          </w:r>
          <w:r>
            <w:rPr>
              <w:noProof/>
            </w:rPr>
            <w:t xml:space="preserve"> Recuperado el 01 de 12 de 2009, de Materiales para la </w:t>
          </w:r>
          <w:r>
            <w:rPr>
              <w:noProof/>
            </w:rPr>
            <w:lastRenderedPageBreak/>
            <w:t>Reforma: http://www.wps2.ipn.mx/wps/wcm/connect/secretaria_academica/SA/Inicio/Recursos_de_Informacion/</w:t>
          </w:r>
        </w:p>
        <w:p w:rsidR="00A87A92" w:rsidRDefault="00A87A92" w:rsidP="00E16642">
          <w:pPr>
            <w:pStyle w:val="Bibliografa"/>
            <w:ind w:left="708" w:hanging="708"/>
            <w:rPr>
              <w:noProof/>
            </w:rPr>
          </w:pPr>
          <w:r>
            <w:rPr>
              <w:noProof/>
            </w:rPr>
            <w:t xml:space="preserve">IPN. (2004, Cuaderno 4). </w:t>
          </w:r>
          <w:r>
            <w:rPr>
              <w:i/>
              <w:iCs/>
              <w:noProof/>
            </w:rPr>
            <w:t>Programa Estratégico de Investigación y Posgrado.</w:t>
          </w:r>
          <w:r>
            <w:rPr>
              <w:noProof/>
            </w:rPr>
            <w:t xml:space="preserve"> Recuperado el 21 de Octubre de 2009, de Materiales para la Reforma: http://www.wps2.ipn.mx/wps/wcm/connect/secretaria_academica/SA/Inicio/Recursos_de_Informacion/</w:t>
          </w:r>
        </w:p>
        <w:p w:rsidR="00A87A92" w:rsidRDefault="00A87A92" w:rsidP="00E16642">
          <w:pPr>
            <w:pStyle w:val="Bibliografa"/>
            <w:ind w:left="708" w:hanging="708"/>
            <w:rPr>
              <w:noProof/>
            </w:rPr>
          </w:pPr>
          <w:r>
            <w:rPr>
              <w:noProof/>
            </w:rPr>
            <w:t xml:space="preserve">IPN. (2006a). </w:t>
          </w:r>
          <w:r>
            <w:rPr>
              <w:i/>
              <w:iCs/>
              <w:noProof/>
            </w:rPr>
            <w:t>Acuerdo por el que se expide el Reglamento de Estudios de Posgrado del Instituto Politécnico Nacional.</w:t>
          </w:r>
          <w:r>
            <w:rPr>
              <w:noProof/>
            </w:rPr>
            <w:t xml:space="preserve"> Recuperado el 14 de Enero de 2010, de Reglamento de Estudios de Posgrado del Instituto Politécnico Nacional: http://www.posgrado.ipn.mx/index.htm o sepi.escasto.ipn.mx/CTRL%20ESC/reglamento_posgrado.pdf </w:t>
          </w:r>
        </w:p>
        <w:p w:rsidR="00A87A92" w:rsidRDefault="00A87A92" w:rsidP="00E16642">
          <w:pPr>
            <w:pStyle w:val="Bibliografa"/>
            <w:ind w:left="708" w:hanging="708"/>
            <w:rPr>
              <w:noProof/>
            </w:rPr>
          </w:pPr>
          <w:r>
            <w:rPr>
              <w:noProof/>
            </w:rPr>
            <w:t xml:space="preserve">IPN. (2009). </w:t>
          </w:r>
          <w:r>
            <w:rPr>
              <w:i/>
              <w:iCs/>
              <w:noProof/>
            </w:rPr>
            <w:t>Acta de expedición del manual de organización de la Coordinación de Cooperación Académica del Instituto Politécnico Nacional.</w:t>
          </w:r>
          <w:r>
            <w:rPr>
              <w:noProof/>
            </w:rPr>
            <w:t xml:space="preserve"> México: IPN.</w:t>
          </w:r>
        </w:p>
        <w:p w:rsidR="00A87A92" w:rsidRDefault="00A87A92" w:rsidP="00E16642">
          <w:pPr>
            <w:pStyle w:val="Bibliografa"/>
            <w:ind w:left="708" w:hanging="708"/>
            <w:rPr>
              <w:noProof/>
            </w:rPr>
          </w:pPr>
          <w:r>
            <w:rPr>
              <w:noProof/>
            </w:rPr>
            <w:t xml:space="preserve">IPN. (Febrero de 2006b). </w:t>
          </w:r>
          <w:r>
            <w:rPr>
              <w:i/>
              <w:iCs/>
              <w:noProof/>
            </w:rPr>
            <w:t>Propuesta de lineamientos para la formulación del Modelo de Investigación Educativa del Instituto Politécnico Nacional.</w:t>
          </w:r>
          <w:r>
            <w:rPr>
              <w:noProof/>
            </w:rPr>
            <w:t xml:space="preserve"> Recuperado el 29 de Enero de 2010, de Centro de Formación e Innovación Educativa: www.eventos.cfie.ipn.mx/.../investigacion/.../modelo_investigacion_educativa.pdf -</w:t>
          </w:r>
        </w:p>
        <w:p w:rsidR="00A87A92" w:rsidRDefault="00A87A92" w:rsidP="00E16642">
          <w:pPr>
            <w:pStyle w:val="Bibliografa"/>
            <w:ind w:left="708" w:hanging="708"/>
            <w:rPr>
              <w:noProof/>
            </w:rPr>
          </w:pPr>
          <w:r>
            <w:rPr>
              <w:noProof/>
            </w:rPr>
            <w:t xml:space="preserve">IPN. (marzo de 2003). </w:t>
          </w:r>
          <w:r>
            <w:rPr>
              <w:i/>
              <w:iCs/>
              <w:noProof/>
            </w:rPr>
            <w:t>Un nuevo modelo para el IPN. Propuesta. Vesión resumida.</w:t>
          </w:r>
          <w:r>
            <w:rPr>
              <w:noProof/>
            </w:rPr>
            <w:t xml:space="preserve"> Recuperado el 5 de octubre de 2009, de www.comunidades.ipn.mx/.../20ModeloEducativoVersion27julio2003Resumen.pdf -</w:t>
          </w:r>
        </w:p>
        <w:p w:rsidR="00A87A92" w:rsidRDefault="00A87A92" w:rsidP="00E16642">
          <w:pPr>
            <w:pStyle w:val="Bibliografa"/>
            <w:ind w:left="708" w:hanging="708"/>
            <w:rPr>
              <w:noProof/>
            </w:rPr>
          </w:pPr>
          <w:r>
            <w:rPr>
              <w:noProof/>
            </w:rPr>
            <w:t xml:space="preserve">Jiménez Domínguez, R. V. (2004). </w:t>
          </w:r>
          <w:r>
            <w:rPr>
              <w:i/>
              <w:iCs/>
              <w:noProof/>
            </w:rPr>
            <w:t>Los mitos del método.</w:t>
          </w:r>
          <w:r>
            <w:rPr>
              <w:noProof/>
            </w:rPr>
            <w:t xml:space="preserve"> México: IPN CIECAS.</w:t>
          </w:r>
        </w:p>
        <w:p w:rsidR="00A87A92" w:rsidRDefault="00A87A92" w:rsidP="00E16642">
          <w:pPr>
            <w:pStyle w:val="Bibliografa"/>
            <w:ind w:left="708" w:hanging="708"/>
            <w:rPr>
              <w:noProof/>
            </w:rPr>
          </w:pPr>
          <w:r>
            <w:rPr>
              <w:noProof/>
            </w:rPr>
            <w:t xml:space="preserve">López Guardado, M. (2006). </w:t>
          </w:r>
          <w:r>
            <w:rPr>
              <w:i/>
              <w:iCs/>
              <w:noProof/>
            </w:rPr>
            <w:t>Setenta años de historia del Instituto Politécnico Nacional</w:t>
          </w:r>
          <w:r>
            <w:rPr>
              <w:noProof/>
            </w:rPr>
            <w:t xml:space="preserve"> (Vol. IV). México: IPN.</w:t>
          </w:r>
        </w:p>
        <w:p w:rsidR="00A87A92" w:rsidRPr="00A87A92" w:rsidRDefault="00A87A92" w:rsidP="00E16642">
          <w:pPr>
            <w:pStyle w:val="Bibliografa"/>
            <w:ind w:left="708" w:hanging="708"/>
            <w:rPr>
              <w:noProof/>
              <w:lang w:val="en-US"/>
            </w:rPr>
          </w:pPr>
          <w:r>
            <w:rPr>
              <w:noProof/>
            </w:rPr>
            <w:t xml:space="preserve">Losse, J. (1988). </w:t>
          </w:r>
          <w:r>
            <w:rPr>
              <w:i/>
              <w:iCs/>
              <w:noProof/>
            </w:rPr>
            <w:t>Filosofia de la ciencia e investigación histórica.</w:t>
          </w:r>
          <w:r>
            <w:rPr>
              <w:noProof/>
            </w:rPr>
            <w:t xml:space="preserve"> </w:t>
          </w:r>
          <w:r w:rsidRPr="00A87A92">
            <w:rPr>
              <w:noProof/>
              <w:lang w:val="en-US"/>
            </w:rPr>
            <w:t>Madrid: Alianza.</w:t>
          </w:r>
        </w:p>
        <w:p w:rsidR="00A87A92" w:rsidRDefault="00A87A92" w:rsidP="00E16642">
          <w:pPr>
            <w:pStyle w:val="Bibliografa"/>
            <w:ind w:left="708" w:hanging="708"/>
            <w:rPr>
              <w:noProof/>
            </w:rPr>
          </w:pPr>
          <w:r w:rsidRPr="00A87A92">
            <w:rPr>
              <w:noProof/>
              <w:lang w:val="en-US"/>
            </w:rPr>
            <w:t xml:space="preserve">Machlup, F. (1978). </w:t>
          </w:r>
          <w:r w:rsidRPr="00A87A92">
            <w:rPr>
              <w:i/>
              <w:iCs/>
              <w:noProof/>
              <w:lang w:val="en-US"/>
            </w:rPr>
            <w:t>Methodology of Economics and Other Social Sciences.</w:t>
          </w:r>
          <w:r w:rsidRPr="00A87A92">
            <w:rPr>
              <w:noProof/>
              <w:lang w:val="en-US"/>
            </w:rPr>
            <w:t xml:space="preserve"> </w:t>
          </w:r>
          <w:r>
            <w:rPr>
              <w:noProof/>
            </w:rPr>
            <w:t>Estados Unidos de América: Academic Press.</w:t>
          </w:r>
        </w:p>
        <w:p w:rsidR="001D7BBA" w:rsidRPr="001D7BBA" w:rsidRDefault="001D7BBA" w:rsidP="001D7BBA">
          <w:pPr>
            <w:ind w:left="708" w:hanging="708"/>
          </w:pPr>
          <w:r w:rsidRPr="001D7BBA">
            <w:lastRenderedPageBreak/>
            <w:t>Meyer, Tomas &amp; Steinthal, Hermann</w:t>
          </w:r>
          <w:r w:rsidR="003F6836">
            <w:t>.</w:t>
          </w:r>
          <w:r w:rsidRPr="001D7BBA">
            <w:t xml:space="preserve"> (1993).</w:t>
          </w:r>
          <w:r w:rsidRPr="001D7BBA">
            <w:rPr>
              <w:i/>
            </w:rPr>
            <w:t xml:space="preserve"> Vocabulario Fundamental y constructivo del griego</w:t>
          </w:r>
          <w:r w:rsidRPr="001D7BBA">
            <w:t xml:space="preserve">. México: UNAM. </w:t>
          </w:r>
        </w:p>
        <w:p w:rsidR="00A87A92" w:rsidRDefault="00A87A92" w:rsidP="00E16642">
          <w:pPr>
            <w:pStyle w:val="Bibliografa"/>
            <w:ind w:left="708" w:hanging="708"/>
            <w:rPr>
              <w:noProof/>
            </w:rPr>
          </w:pPr>
          <w:r>
            <w:rPr>
              <w:noProof/>
            </w:rPr>
            <w:t xml:space="preserve">Mireles, O. (2008). Evaluación de la calidad del posgrado en México. </w:t>
          </w:r>
          <w:r>
            <w:rPr>
              <w:i/>
              <w:iCs/>
              <w:noProof/>
            </w:rPr>
            <w:t>Calidad en la educación</w:t>
          </w:r>
          <w:r>
            <w:rPr>
              <w:noProof/>
            </w:rPr>
            <w:t xml:space="preserve"> (29), 242, 257.</w:t>
          </w:r>
        </w:p>
        <w:p w:rsidR="00A87A92" w:rsidRDefault="00A87A92" w:rsidP="00E16642">
          <w:pPr>
            <w:pStyle w:val="Bibliografa"/>
            <w:ind w:left="708" w:hanging="708"/>
            <w:rPr>
              <w:noProof/>
            </w:rPr>
          </w:pPr>
          <w:r>
            <w:rPr>
              <w:noProof/>
            </w:rPr>
            <w:t xml:space="preserve">Monteón, H. (2003). </w:t>
          </w:r>
          <w:r>
            <w:rPr>
              <w:i/>
              <w:iCs/>
              <w:noProof/>
            </w:rPr>
            <w:t>Metodología de la ciencia</w:t>
          </w:r>
          <w:r>
            <w:rPr>
              <w:noProof/>
            </w:rPr>
            <w:t xml:space="preserve"> </w:t>
          </w:r>
          <w:r>
            <w:rPr>
              <w:i/>
              <w:iCs/>
              <w:noProof/>
            </w:rPr>
            <w:t>, V</w:t>
          </w:r>
          <w:r>
            <w:rPr>
              <w:noProof/>
            </w:rPr>
            <w:t xml:space="preserve"> (22), 1-3.</w:t>
          </w:r>
        </w:p>
        <w:p w:rsidR="00A87A92" w:rsidRDefault="00A87A92" w:rsidP="00E16642">
          <w:pPr>
            <w:pStyle w:val="Bibliografa"/>
            <w:ind w:left="708" w:hanging="708"/>
            <w:rPr>
              <w:noProof/>
            </w:rPr>
          </w:pPr>
          <w:r>
            <w:rPr>
              <w:noProof/>
            </w:rPr>
            <w:t xml:space="preserve">Montoya Fernández, U. (1996). </w:t>
          </w:r>
          <w:r>
            <w:rPr>
              <w:i/>
              <w:iCs/>
              <w:noProof/>
            </w:rPr>
            <w:t>El proyecto de Estudios Sociales, Tecnológicos y Científicos y la Maestría en Metodología de la Ciencia</w:t>
          </w:r>
          <w:r>
            <w:rPr>
              <w:noProof/>
            </w:rPr>
            <w:t xml:space="preserve"> . México: Tesis de Maestria para obtener el grado de M. en C. en Metodología de la Ciencia, PESTyC, IPN.</w:t>
          </w:r>
        </w:p>
        <w:p w:rsidR="00A87A92" w:rsidRDefault="00A87A92" w:rsidP="00E16642">
          <w:pPr>
            <w:pStyle w:val="Bibliografa"/>
            <w:ind w:left="708" w:hanging="708"/>
            <w:rPr>
              <w:noProof/>
            </w:rPr>
          </w:pPr>
          <w:r>
            <w:rPr>
              <w:noProof/>
            </w:rPr>
            <w:t>Moreno Bayardo, M. G. (s. a. ). Innovación en los Posgrados en Educación. ¿</w:t>
          </w:r>
          <w:r w:rsidR="00AB32CA">
            <w:rPr>
              <w:noProof/>
            </w:rPr>
            <w:t>Solo</w:t>
          </w:r>
          <w:r>
            <w:rPr>
              <w:noProof/>
            </w:rPr>
            <w:t xml:space="preserve"> un caso particular de lo posible? </w:t>
          </w:r>
          <w:r>
            <w:rPr>
              <w:i/>
              <w:iCs/>
              <w:noProof/>
            </w:rPr>
            <w:t>Revista de la Educación Superior en Línea</w:t>
          </w:r>
          <w:r>
            <w:rPr>
              <w:noProof/>
            </w:rPr>
            <w:t xml:space="preserve"> </w:t>
          </w:r>
        </w:p>
        <w:p w:rsidR="00A87A92" w:rsidRDefault="00A87A92" w:rsidP="00E16642">
          <w:pPr>
            <w:pStyle w:val="Bibliografa"/>
            <w:ind w:left="708" w:hanging="708"/>
            <w:rPr>
              <w:noProof/>
            </w:rPr>
          </w:pPr>
          <w:r>
            <w:rPr>
              <w:noProof/>
            </w:rPr>
            <w:t xml:space="preserve">Morles, V. (2002). La metodología como ciencia y el método científico: un espacio polémico. </w:t>
          </w:r>
          <w:r>
            <w:rPr>
              <w:i/>
              <w:iCs/>
              <w:noProof/>
            </w:rPr>
            <w:t>Revista del PED</w:t>
          </w:r>
          <w:r>
            <w:rPr>
              <w:noProof/>
            </w:rPr>
            <w:t xml:space="preserve"> </w:t>
          </w:r>
          <w:r>
            <w:rPr>
              <w:i/>
              <w:iCs/>
              <w:noProof/>
            </w:rPr>
            <w:t>, 23</w:t>
          </w:r>
          <w:r>
            <w:rPr>
              <w:noProof/>
            </w:rPr>
            <w:t xml:space="preserve"> (66), 121-146.</w:t>
          </w:r>
        </w:p>
        <w:p w:rsidR="00A87A92" w:rsidRDefault="00A87A92" w:rsidP="00E16642">
          <w:pPr>
            <w:pStyle w:val="Bibliografa"/>
            <w:ind w:left="708" w:hanging="708"/>
            <w:rPr>
              <w:noProof/>
            </w:rPr>
          </w:pPr>
          <w:r>
            <w:rPr>
              <w:noProof/>
            </w:rPr>
            <w:t xml:space="preserve">OECD. (2004). </w:t>
          </w:r>
          <w:r>
            <w:rPr>
              <w:i/>
              <w:iCs/>
              <w:noProof/>
            </w:rPr>
            <w:t>Revisión Nacional de Investigación y Desarrollo Educativo.</w:t>
          </w:r>
          <w:r>
            <w:rPr>
              <w:noProof/>
            </w:rPr>
            <w:t xml:space="preserve"> Recuperado el 23 de Junio de 2010, de Organisation For Economic Co-operation and Development: www.oecd.org/dataoecd/42/23/32496490.pdf </w:t>
          </w:r>
        </w:p>
        <w:p w:rsidR="00A87A92" w:rsidRDefault="00A87A92" w:rsidP="00E16642">
          <w:pPr>
            <w:pStyle w:val="Bibliografa"/>
            <w:ind w:left="708" w:hanging="708"/>
            <w:rPr>
              <w:noProof/>
            </w:rPr>
          </w:pPr>
          <w:r>
            <w:rPr>
              <w:noProof/>
            </w:rPr>
            <w:t xml:space="preserve">Pacheco Espejel, A., &amp; Cruz Estrada, M. C. (2006). </w:t>
          </w:r>
          <w:r>
            <w:rPr>
              <w:i/>
              <w:iCs/>
              <w:noProof/>
            </w:rPr>
            <w:t>Metodología crítica de la invesetigación. Lógica, procedimiento y técnicas.</w:t>
          </w:r>
          <w:r>
            <w:rPr>
              <w:noProof/>
            </w:rPr>
            <w:t xml:space="preserve"> México: CECSA.</w:t>
          </w:r>
        </w:p>
        <w:p w:rsidR="00A87A92" w:rsidRDefault="00A87A92" w:rsidP="00E16642">
          <w:pPr>
            <w:pStyle w:val="Bibliografa"/>
            <w:ind w:left="708" w:hanging="708"/>
            <w:rPr>
              <w:noProof/>
            </w:rPr>
          </w:pPr>
          <w:r>
            <w:rPr>
              <w:noProof/>
            </w:rPr>
            <w:t>Personal Académico de Metodología de la Ciencia, PESTyC. (septiembre de 1992). Relatoría de la mesa redonda del personal académico sobre actualización de la Maestría en Metodología de la Ciencia. México: IPN, PESTyC.</w:t>
          </w:r>
        </w:p>
        <w:p w:rsidR="00A87A92" w:rsidRDefault="00A87A92" w:rsidP="00E16642">
          <w:pPr>
            <w:pStyle w:val="Bibliografa"/>
            <w:ind w:left="708" w:hanging="708"/>
            <w:rPr>
              <w:noProof/>
            </w:rPr>
          </w:pPr>
          <w:r>
            <w:rPr>
              <w:noProof/>
            </w:rPr>
            <w:t xml:space="preserve">Ponce Ramírez, L. (27 de Mayo de 2010). Redes de Posgrado: ¿Cómo estructurarlas y gestionarlas para que sean exitosas? </w:t>
          </w:r>
          <w:r>
            <w:rPr>
              <w:i/>
              <w:iCs/>
              <w:noProof/>
            </w:rPr>
            <w:t>Avances y perspectivas del Programa Nacional de Posgrados de Calidad</w:t>
          </w:r>
          <w:r>
            <w:rPr>
              <w:noProof/>
            </w:rPr>
            <w:t xml:space="preserve"> . México: CONACyT; COMEPO.</w:t>
          </w:r>
        </w:p>
        <w:p w:rsidR="00A87A92" w:rsidRDefault="00A87A92" w:rsidP="00E16642">
          <w:pPr>
            <w:pStyle w:val="Bibliografa"/>
            <w:ind w:left="708" w:hanging="708"/>
            <w:rPr>
              <w:noProof/>
            </w:rPr>
          </w:pPr>
          <w:r>
            <w:rPr>
              <w:noProof/>
            </w:rPr>
            <w:t xml:space="preserve">Presidencia del Decanato. (2003). Acuerdo por el que se expide el Reglamento Interno del Instituto Politécnico Nacional. </w:t>
          </w:r>
          <w:r>
            <w:rPr>
              <w:i/>
              <w:iCs/>
              <w:noProof/>
            </w:rPr>
            <w:t>Marco Jurídico Reglamentos</w:t>
          </w:r>
          <w:r>
            <w:rPr>
              <w:noProof/>
            </w:rPr>
            <w:t xml:space="preserve"> . México.</w:t>
          </w:r>
        </w:p>
        <w:p w:rsidR="00A87A92" w:rsidRDefault="00A87A92" w:rsidP="00E16642">
          <w:pPr>
            <w:pStyle w:val="Bibliografa"/>
            <w:ind w:left="708" w:hanging="708"/>
            <w:rPr>
              <w:noProof/>
            </w:rPr>
          </w:pPr>
          <w:r>
            <w:rPr>
              <w:noProof/>
            </w:rPr>
            <w:t xml:space="preserve">Rodríguez de Rivera, J. C. (1999). </w:t>
          </w:r>
          <w:r>
            <w:rPr>
              <w:i/>
              <w:iCs/>
              <w:noProof/>
            </w:rPr>
            <w:t>Metodología como metáfora de métodos y metódicas.</w:t>
          </w:r>
          <w:r>
            <w:rPr>
              <w:noProof/>
            </w:rPr>
            <w:t xml:space="preserve"> (Universidad de Alcalá, Ed.) Recuperado el 1 de septiembre de </w:t>
          </w:r>
          <w:r>
            <w:rPr>
              <w:noProof/>
            </w:rPr>
            <w:lastRenderedPageBreak/>
            <w:t>2007, de CEPADE Departamento de Ciencias Empresariales: http//sunwc.cepade.es/_rivera/bases_teor/episteme/</w:t>
          </w:r>
        </w:p>
        <w:p w:rsidR="00A87A92" w:rsidRDefault="00A87A92" w:rsidP="00E16642">
          <w:pPr>
            <w:pStyle w:val="Bibliografa"/>
            <w:ind w:left="708" w:hanging="708"/>
            <w:rPr>
              <w:noProof/>
            </w:rPr>
          </w:pPr>
          <w:r>
            <w:rPr>
              <w:noProof/>
            </w:rPr>
            <w:t xml:space="preserve">Rodríguez Salazar, L. M. (2009). </w:t>
          </w:r>
          <w:r>
            <w:rPr>
              <w:i/>
              <w:iCs/>
              <w:noProof/>
            </w:rPr>
            <w:t>Maestría en Ciencias en Metodología de la Ciencia.</w:t>
          </w:r>
          <w:r>
            <w:rPr>
              <w:noProof/>
            </w:rPr>
            <w:t xml:space="preserve"> Instituto Politécnico Nacional, Centro de Investigtaciones Económicas, Administrativas y Sociales, Coordinación de la Maestría en Ciencias en Metodología de la Ciencia. México: inédito.</w:t>
          </w:r>
        </w:p>
        <w:p w:rsidR="00A87A92" w:rsidRDefault="00A87A92" w:rsidP="00E16642">
          <w:pPr>
            <w:pStyle w:val="Bibliografa"/>
            <w:ind w:left="708" w:hanging="708"/>
            <w:rPr>
              <w:noProof/>
            </w:rPr>
          </w:pPr>
          <w:r>
            <w:rPr>
              <w:noProof/>
            </w:rPr>
            <w:t xml:space="preserve">Rojas Soriano, R. (1999). </w:t>
          </w:r>
          <w:r>
            <w:rPr>
              <w:i/>
              <w:iCs/>
              <w:noProof/>
            </w:rPr>
            <w:t>Estado del debate en metodología de la investigación, corrientes metodológicas, delimitación de los objetos de estudio.</w:t>
          </w:r>
          <w:r>
            <w:rPr>
              <w:noProof/>
            </w:rPr>
            <w:t xml:space="preserve"> </w:t>
          </w:r>
        </w:p>
        <w:p w:rsidR="00A87A92" w:rsidRDefault="00A87A92" w:rsidP="00E16642">
          <w:pPr>
            <w:pStyle w:val="Bibliografa"/>
            <w:ind w:left="708" w:hanging="708"/>
            <w:rPr>
              <w:noProof/>
            </w:rPr>
          </w:pPr>
          <w:r>
            <w:rPr>
              <w:noProof/>
            </w:rPr>
            <w:t xml:space="preserve">Rojas Soriano, R. (1997). </w:t>
          </w:r>
          <w:r>
            <w:rPr>
              <w:i/>
              <w:iCs/>
              <w:noProof/>
            </w:rPr>
            <w:t>Trabajo intelectual e investigación de un plagio (Recomendaciones para redactar un texto).</w:t>
          </w:r>
          <w:r>
            <w:rPr>
              <w:noProof/>
            </w:rPr>
            <w:t xml:space="preserve"> México: Plaza y Valdés.</w:t>
          </w:r>
        </w:p>
        <w:p w:rsidR="00A87A92" w:rsidRDefault="00A87A92" w:rsidP="00E16642">
          <w:pPr>
            <w:pStyle w:val="Bibliografa"/>
            <w:ind w:left="708" w:hanging="708"/>
            <w:rPr>
              <w:noProof/>
            </w:rPr>
          </w:pPr>
          <w:r>
            <w:rPr>
              <w:noProof/>
            </w:rPr>
            <w:t>Rojo Asenjo, O. (s. a.). Monografía de Proyectos de Estudios Sociales, Tecnológicos y Científicos (PESTyC). inédito.</w:t>
          </w:r>
        </w:p>
        <w:p w:rsidR="00D95DAC" w:rsidRPr="00D95DAC" w:rsidRDefault="00D95DAC" w:rsidP="00D95DAC">
          <w:pPr>
            <w:ind w:left="708" w:hanging="708"/>
          </w:pPr>
          <w:r>
            <w:t xml:space="preserve">Rueda Delgado, Gabriel. (2007). </w:t>
          </w:r>
          <w:r w:rsidRPr="00D95DAC">
            <w:t>La investigación contable: vínculos ontológicos y las posibilidades de la investigación interpretativa</w:t>
          </w:r>
          <w:r>
            <w:t xml:space="preserve">. </w:t>
          </w:r>
          <w:r w:rsidRPr="00D95DAC">
            <w:rPr>
              <w:i/>
              <w:iCs/>
            </w:rPr>
            <w:t>Contaduría Universidad de Antioquia</w:t>
          </w:r>
          <w:r w:rsidRPr="00D95DAC">
            <w:t xml:space="preserve">, </w:t>
          </w:r>
          <w:r w:rsidRPr="00D95DAC">
            <w:rPr>
              <w:i/>
              <w:iCs/>
            </w:rPr>
            <w:t>50</w:t>
          </w:r>
          <w:r w:rsidRPr="00D95DAC">
            <w:t>, 119-132.</w:t>
          </w:r>
        </w:p>
        <w:p w:rsidR="00417E10" w:rsidRPr="00417E10" w:rsidRDefault="00417E10" w:rsidP="00417E10">
          <w:pPr>
            <w:ind w:left="708" w:hanging="708"/>
          </w:pPr>
          <w:r>
            <w:t xml:space="preserve">Sánchez Maríñez, J.  (2008). </w:t>
          </w:r>
          <w:r w:rsidRPr="00417E10">
            <w:t>Una propuesta conceptual para diferenciar los programas de postgrado</w:t>
          </w:r>
          <w:r>
            <w:t xml:space="preserve"> </w:t>
          </w:r>
          <w:r w:rsidRPr="00417E10">
            <w:t>profesionalizantes y orientados a la investigación. Implicaciones para la regulación, el</w:t>
          </w:r>
          <w:r>
            <w:t xml:space="preserve"> </w:t>
          </w:r>
          <w:r w:rsidRPr="00417E10">
            <w:t>diseño y la implementación de los programas de postgrado</w:t>
          </w:r>
          <w:r>
            <w:t xml:space="preserve">. </w:t>
          </w:r>
          <w:r>
            <w:rPr>
              <w:i/>
            </w:rPr>
            <w:t>Ciencia y Sociedad, 33</w:t>
          </w:r>
          <w:r>
            <w:t>, 327-341.</w:t>
          </w:r>
        </w:p>
        <w:p w:rsidR="00A87A92" w:rsidRDefault="00A87A92" w:rsidP="00E16642">
          <w:pPr>
            <w:pStyle w:val="Bibliografa"/>
            <w:ind w:left="708" w:hanging="708"/>
            <w:rPr>
              <w:noProof/>
            </w:rPr>
          </w:pPr>
          <w:r>
            <w:rPr>
              <w:noProof/>
            </w:rPr>
            <w:t xml:space="preserve">Serrano, A. J. (1990). </w:t>
          </w:r>
          <w:r>
            <w:rPr>
              <w:i/>
              <w:iCs/>
              <w:noProof/>
            </w:rPr>
            <w:t>Introducción, Filosofía de la ciencia.</w:t>
          </w:r>
          <w:r>
            <w:rPr>
              <w:noProof/>
            </w:rPr>
            <w:t xml:space="preserve"> México: Trillas.</w:t>
          </w:r>
        </w:p>
        <w:p w:rsidR="00A87A92" w:rsidRDefault="00A87A92" w:rsidP="00E16642">
          <w:pPr>
            <w:pStyle w:val="Bibliografa"/>
            <w:ind w:left="708" w:hanging="708"/>
            <w:rPr>
              <w:noProof/>
            </w:rPr>
          </w:pPr>
          <w:r>
            <w:rPr>
              <w:noProof/>
            </w:rPr>
            <w:t xml:space="preserve">SES &amp; CONACYT. (1 de abril de 2009). </w:t>
          </w:r>
          <w:r>
            <w:rPr>
              <w:i/>
              <w:iCs/>
              <w:noProof/>
            </w:rPr>
            <w:t>Convocatoria 2009 Programa Nacional de Posgrados de Calidad.</w:t>
          </w:r>
          <w:r>
            <w:rPr>
              <w:noProof/>
            </w:rPr>
            <w:t xml:space="preserve"> Recuperado el 15 de junio de 2009, de www.conacyt.gob.mx/Posgrados/Convocatorias/2009/Convocatoria_PNPC_2009.pdf -</w:t>
          </w:r>
        </w:p>
        <w:p w:rsidR="003A6775" w:rsidRPr="003A6775" w:rsidRDefault="003A6775" w:rsidP="003A6775">
          <w:pPr>
            <w:pStyle w:val="Ttulo3"/>
            <w:ind w:left="708" w:hanging="708"/>
            <w:rPr>
              <w:b w:val="0"/>
              <w:lang w:val="es-MX"/>
            </w:rPr>
          </w:pPr>
          <w:bookmarkStart w:id="60" w:name="_Toc308691499"/>
          <w:r>
            <w:rPr>
              <w:rFonts w:cs="Arial"/>
              <w:b w:val="0"/>
              <w:bCs w:val="0"/>
              <w:szCs w:val="24"/>
            </w:rPr>
            <w:t xml:space="preserve">Sautu, Ruth; Boniolo, Paula; Dalle, Pablo &amp; Rodolfo Elbert. (2005). </w:t>
          </w:r>
          <w:r w:rsidRPr="003A6775">
            <w:rPr>
              <w:rFonts w:cs="Arial"/>
              <w:b w:val="0"/>
              <w:i/>
              <w:iCs/>
              <w:szCs w:val="24"/>
              <w:lang w:val="es-MX"/>
            </w:rPr>
            <w:t xml:space="preserve">Manual de metodología. </w:t>
          </w:r>
          <w:r w:rsidRPr="003A6775">
            <w:rPr>
              <w:rFonts w:cs="Arial"/>
              <w:b w:val="0"/>
              <w:i/>
              <w:szCs w:val="24"/>
              <w:lang w:val="es-MX"/>
            </w:rPr>
            <w:t>Construcción del marco teórico, formulación de los objetivos y elección de la metodología.</w:t>
          </w:r>
          <w:r>
            <w:rPr>
              <w:rFonts w:cs="Arial"/>
              <w:b w:val="0"/>
              <w:szCs w:val="24"/>
              <w:lang w:val="es-MX"/>
            </w:rPr>
            <w:t xml:space="preserve"> Buenos Aires: CLACSO</w:t>
          </w:r>
          <w:bookmarkEnd w:id="60"/>
        </w:p>
        <w:p w:rsidR="00A87A92" w:rsidRDefault="00A87A92" w:rsidP="00E16642">
          <w:pPr>
            <w:pStyle w:val="Bibliografa"/>
            <w:ind w:left="708" w:hanging="708"/>
            <w:rPr>
              <w:noProof/>
            </w:rPr>
          </w:pPr>
          <w:r>
            <w:rPr>
              <w:noProof/>
            </w:rPr>
            <w:t>Sevilla Hernández, M. L. (27 de abril de 1983). Acta de la sesión No. 116 del Consejo Académico de Graduados. Sección de Graduados de la ESIQIE, México: IPN.</w:t>
          </w:r>
        </w:p>
        <w:p w:rsidR="00A87A92" w:rsidRDefault="00A87A92" w:rsidP="00E16642">
          <w:pPr>
            <w:pStyle w:val="Bibliografa"/>
            <w:ind w:left="708" w:hanging="708"/>
            <w:rPr>
              <w:noProof/>
            </w:rPr>
          </w:pPr>
          <w:r>
            <w:rPr>
              <w:noProof/>
            </w:rPr>
            <w:lastRenderedPageBreak/>
            <w:t xml:space="preserve">SIP IPN. (03 de Junio de 2009b). </w:t>
          </w:r>
          <w:r>
            <w:rPr>
              <w:i/>
              <w:iCs/>
              <w:noProof/>
            </w:rPr>
            <w:t>Plan de mejoras</w:t>
          </w:r>
          <w:r>
            <w:rPr>
              <w:noProof/>
            </w:rPr>
            <w:t>. Recuperado el 13 de Noviembre de 2009, de Secretaría de Investigación y Posgrado, Instituto Politécnico Nacional: http://www.sip.ipn.mx/wps/wcm/connect/sip/SIP/Inicio/conocenos/Plan+de+Mejoras/</w:t>
          </w:r>
        </w:p>
        <w:p w:rsidR="00A87A92" w:rsidRDefault="00A87A92" w:rsidP="00E16642">
          <w:pPr>
            <w:pStyle w:val="Bibliografa"/>
            <w:ind w:left="708" w:hanging="708"/>
            <w:rPr>
              <w:noProof/>
            </w:rPr>
          </w:pPr>
          <w:r>
            <w:rPr>
              <w:noProof/>
            </w:rPr>
            <w:t xml:space="preserve">SIP IPN. (01 de Junio de 2009a). </w:t>
          </w:r>
          <w:r>
            <w:rPr>
              <w:i/>
              <w:iCs/>
              <w:noProof/>
            </w:rPr>
            <w:t>Políticas</w:t>
          </w:r>
          <w:r>
            <w:rPr>
              <w:noProof/>
            </w:rPr>
            <w:t>. Recuperado el 13 de Noviembre de 2009, de Secretaría de Investigación y Posgrado: http://www.sip.ipn.mx/wps/wcm/connect/sip/SIP/Inicio/conocenos/Politicas/</w:t>
          </w:r>
        </w:p>
        <w:p w:rsidR="00A87A92" w:rsidRDefault="00A87A92" w:rsidP="00E16642">
          <w:pPr>
            <w:pStyle w:val="Bibliografa"/>
            <w:ind w:left="708" w:hanging="708"/>
            <w:rPr>
              <w:noProof/>
            </w:rPr>
          </w:pPr>
          <w:r>
            <w:rPr>
              <w:noProof/>
            </w:rPr>
            <w:t xml:space="preserve">Tinajero Villavicencio, G. (2005). Una década de acreditación de programas de posgrado 1991-2001. </w:t>
          </w:r>
          <w:r>
            <w:rPr>
              <w:i/>
              <w:iCs/>
              <w:noProof/>
            </w:rPr>
            <w:t>Revista de Educación Superior , XXXIV</w:t>
          </w:r>
          <w:r>
            <w:rPr>
              <w:noProof/>
            </w:rPr>
            <w:t xml:space="preserve"> (1).</w:t>
          </w:r>
        </w:p>
        <w:p w:rsidR="00A87A92" w:rsidRDefault="00A87A92" w:rsidP="00E16642">
          <w:pPr>
            <w:pStyle w:val="Bibliografa"/>
            <w:ind w:left="708" w:hanging="708"/>
            <w:rPr>
              <w:noProof/>
            </w:rPr>
          </w:pPr>
          <w:r>
            <w:rPr>
              <w:noProof/>
            </w:rPr>
            <w:t xml:space="preserve">UNESCO. (09 de octubre de 1998). </w:t>
          </w:r>
          <w:r>
            <w:rPr>
              <w:i/>
              <w:iCs/>
              <w:noProof/>
            </w:rPr>
            <w:t>Declaración Mundial sobre la Eduación Superior en el siglo XXI: visión y acción.</w:t>
          </w:r>
          <w:r>
            <w:rPr>
              <w:noProof/>
            </w:rPr>
            <w:t xml:space="preserve"> Recuperado el 21 de diciembre de 2009, de Conferencia Mundial sobre la Educación, UNESCO: http://www.unesco.org/education/educprog/wche/declaration_spa.htm#declaracion</w:t>
          </w:r>
        </w:p>
        <w:p w:rsidR="00A87A92" w:rsidRDefault="00A87A92" w:rsidP="00E16642">
          <w:pPr>
            <w:pStyle w:val="Bibliografa"/>
            <w:ind w:left="708" w:hanging="708"/>
            <w:rPr>
              <w:noProof/>
            </w:rPr>
          </w:pPr>
          <w:r>
            <w:rPr>
              <w:noProof/>
            </w:rPr>
            <w:t xml:space="preserve">Universidad Autónoma de San Luis Potosí. (s. a.). </w:t>
          </w:r>
          <w:r>
            <w:rPr>
              <w:i/>
              <w:iCs/>
              <w:noProof/>
            </w:rPr>
            <w:t>Semblanza de la Investigación y el Posgrado en la UASLP en el decenio de 1995-2004.</w:t>
          </w:r>
          <w:r>
            <w:rPr>
              <w:noProof/>
            </w:rPr>
            <w:t xml:space="preserve"> Recuperado el 13 de Noviembre de 2009, de http://www.uaslp.mx/Spanish/Administracion/SIP/Paginas/SemblanzaInvPos.aspx</w:t>
          </w:r>
        </w:p>
        <w:p w:rsidR="00A87A92" w:rsidRDefault="0072146B" w:rsidP="00E16642">
          <w:pPr>
            <w:rPr>
              <w:lang w:val="es-ES"/>
            </w:rPr>
          </w:pPr>
          <w:r>
            <w:rPr>
              <w:lang w:val="es-ES"/>
            </w:rPr>
            <w:fldChar w:fldCharType="end"/>
          </w:r>
        </w:p>
      </w:sdtContent>
    </w:sdt>
    <w:p w:rsidR="00751A71" w:rsidRDefault="00751A71" w:rsidP="00766C6B">
      <w:pPr>
        <w:pStyle w:val="Bibliografa"/>
      </w:pPr>
    </w:p>
    <w:sectPr w:rsidR="00751A71" w:rsidSect="0085400D">
      <w:headerReference w:type="default" r:id="rId4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43" w:rsidRDefault="00550243" w:rsidP="00356E67">
      <w:pPr>
        <w:spacing w:line="240" w:lineRule="auto"/>
      </w:pPr>
      <w:r>
        <w:separator/>
      </w:r>
    </w:p>
  </w:endnote>
  <w:endnote w:type="continuationSeparator" w:id="0">
    <w:p w:rsidR="00550243" w:rsidRDefault="00550243" w:rsidP="00356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BerkeleyStd-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4881"/>
      <w:docPartObj>
        <w:docPartGallery w:val="Page Numbers (Bottom of Page)"/>
        <w:docPartUnique/>
      </w:docPartObj>
    </w:sdtPr>
    <w:sdtEndPr/>
    <w:sdtContent>
      <w:p w:rsidR="008979D4" w:rsidRDefault="00B20C48">
        <w:pPr>
          <w:pStyle w:val="Piedepgina"/>
          <w:jc w:val="center"/>
        </w:pPr>
        <w:r>
          <w:fldChar w:fldCharType="begin"/>
        </w:r>
        <w:r>
          <w:instrText xml:space="preserve"> PAGE   \* MERGEFORMAT </w:instrText>
        </w:r>
        <w:r>
          <w:fldChar w:fldCharType="separate"/>
        </w:r>
        <w:r w:rsidR="00EB760B">
          <w:rPr>
            <w:noProof/>
          </w:rPr>
          <w:t>ii</w:t>
        </w:r>
        <w:r>
          <w:rPr>
            <w:noProof/>
          </w:rPr>
          <w:fldChar w:fldCharType="end"/>
        </w:r>
      </w:p>
    </w:sdtContent>
  </w:sdt>
  <w:p w:rsidR="008979D4" w:rsidRDefault="008979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Default="008979D4">
    <w:pPr>
      <w:pStyle w:val="Piedepgina"/>
      <w:jc w:val="center"/>
    </w:pPr>
  </w:p>
  <w:p w:rsidR="008979D4" w:rsidRDefault="00897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43" w:rsidRDefault="00550243" w:rsidP="00356E67">
      <w:pPr>
        <w:spacing w:line="240" w:lineRule="auto"/>
      </w:pPr>
      <w:r>
        <w:separator/>
      </w:r>
    </w:p>
  </w:footnote>
  <w:footnote w:type="continuationSeparator" w:id="0">
    <w:p w:rsidR="00550243" w:rsidRDefault="00550243" w:rsidP="00356E67">
      <w:pPr>
        <w:spacing w:line="240" w:lineRule="auto"/>
      </w:pPr>
      <w:r>
        <w:continuationSeparator/>
      </w:r>
    </w:p>
  </w:footnote>
  <w:footnote w:id="1">
    <w:p w:rsidR="008979D4" w:rsidRDefault="008979D4">
      <w:pPr>
        <w:pStyle w:val="Textonotapie"/>
      </w:pPr>
      <w:r>
        <w:rPr>
          <w:rStyle w:val="Refdenotaalpie"/>
        </w:rPr>
        <w:footnoteRef/>
      </w:r>
      <w:r>
        <w:t xml:space="preserve"> Podría apelarse a la idea de paradigma que Kuhn propuso en su texto “La estructura de las revoluciones científicas”, pero el análisis sociológico rebasa los alcances de este trabajo.</w:t>
      </w:r>
    </w:p>
  </w:footnote>
  <w:footnote w:id="2">
    <w:p w:rsidR="008979D4" w:rsidRPr="007322D0" w:rsidRDefault="008979D4" w:rsidP="00356E67">
      <w:pPr>
        <w:pStyle w:val="Textonotapie"/>
      </w:pPr>
      <w:r>
        <w:rPr>
          <w:rStyle w:val="Refdenotaalpie"/>
        </w:rPr>
        <w:footnoteRef/>
      </w:r>
      <w:r>
        <w:t xml:space="preserve"> En el Capítulo del Modelo Educativo del IPN se explica lo que son las Líneas de Aplicación y Generación de Conocimiento</w:t>
      </w:r>
    </w:p>
  </w:footnote>
  <w:footnote w:id="3">
    <w:p w:rsidR="008979D4" w:rsidRDefault="008979D4" w:rsidP="00356E67">
      <w:pPr>
        <w:pStyle w:val="Textonotapie"/>
      </w:pPr>
      <w:r>
        <w:rPr>
          <w:rStyle w:val="Refdenotaalpie"/>
        </w:rPr>
        <w:footnoteRef/>
      </w:r>
      <w:r>
        <w:t xml:space="preserve"> Las categorías de los posgrados de acuerdo al IPN son: a) en Ciencias, b) en Ingeniería con orientación científica, c) en Ingeniería con orientación profesional y d) en Administración y serán explicadas en el capítulo: Modelo Educativo del IPN. </w:t>
      </w:r>
    </w:p>
    <w:p w:rsidR="008979D4" w:rsidRDefault="008979D4" w:rsidP="00356E67">
      <w:pPr>
        <w:pStyle w:val="Textonotapie"/>
      </w:pPr>
      <w:r>
        <w:t>Las orientaciones de los posgrados de acuerdo con CONACyT son: a) orientación a la investigación y b) con orientación profesionalizante, serán abordadas en el capítulo tres.</w:t>
      </w:r>
    </w:p>
  </w:footnote>
  <w:footnote w:id="4">
    <w:p w:rsidR="008979D4" w:rsidRPr="008F2251" w:rsidRDefault="008979D4" w:rsidP="00D03A1E">
      <w:pPr>
        <w:pStyle w:val="Textonotapie"/>
      </w:pPr>
      <w:r>
        <w:rPr>
          <w:rStyle w:val="Refdenotaalpie"/>
        </w:rPr>
        <w:footnoteRef/>
      </w:r>
      <w:r>
        <w:t xml:space="preserve"> Estudio de </w:t>
      </w:r>
      <w:r w:rsidRPr="008F2251">
        <w:t>“</w:t>
      </w:r>
      <w:r>
        <w:t>l</w:t>
      </w:r>
      <w:r w:rsidRPr="008F2251">
        <w:t>a naturaleza, estructura, lógica, métodos, principios, funciones, criterios de construcción y fundamentación de las teorías y sistemas resultantes” en la ciencia y la tecnología, “así como tensiones a nivel de métodos y teorías rivales.”</w:t>
      </w:r>
      <w:r>
        <w:t xml:space="preserve"> (Bustamante Guerrero, 2004, p. 78).</w:t>
      </w:r>
    </w:p>
    <w:p w:rsidR="008979D4" w:rsidRDefault="008979D4" w:rsidP="00D03A1E">
      <w:pPr>
        <w:pStyle w:val="Textonotapie"/>
      </w:pPr>
    </w:p>
  </w:footnote>
  <w:footnote w:id="5">
    <w:p w:rsidR="008979D4" w:rsidRDefault="008979D4">
      <w:pPr>
        <w:pStyle w:val="Textonotapie"/>
      </w:pPr>
      <w:r>
        <w:rPr>
          <w:rStyle w:val="Refdenotaalpie"/>
        </w:rPr>
        <w:footnoteRef/>
      </w:r>
      <w:r>
        <w:t xml:space="preserve"> Incluido por la autora del presente documento</w:t>
      </w:r>
    </w:p>
  </w:footnote>
  <w:footnote w:id="6">
    <w:p w:rsidR="008979D4" w:rsidRDefault="008979D4">
      <w:pPr>
        <w:pStyle w:val="Textonotapie"/>
      </w:pPr>
      <w:r>
        <w:rPr>
          <w:rStyle w:val="Refdenotaalpie"/>
        </w:rPr>
        <w:footnoteRef/>
      </w:r>
      <w:r>
        <w:t xml:space="preserve"> Se retoma únicamente el término usado en los textos, aunque se señala que debe estudiarse el alcance del mismo.</w:t>
      </w:r>
    </w:p>
  </w:footnote>
  <w:footnote w:id="7">
    <w:p w:rsidR="008979D4" w:rsidRDefault="008979D4" w:rsidP="00356E67">
      <w:pPr>
        <w:pStyle w:val="Textonotapie"/>
      </w:pPr>
      <w:r w:rsidRPr="000E7AB7">
        <w:rPr>
          <w:rStyle w:val="Refdenotaalpie"/>
        </w:rPr>
        <w:footnoteRef/>
      </w:r>
      <w:r w:rsidRPr="000E7AB7">
        <w:t xml:space="preserve"> La Dra. Ma. de la Luz Paniagua de la Escuela Superior de Contaduría y Administración como presidenta; el Dr. Rodolfo Alfredo Viniegra Islas del Centro Nacional de Cálculo; la Dra. Ma. Eugenia Pulido Álvarez de la Escuela Nacional de Medicina y Homeopatía; el Dr. Ricardo Yáñez Ávila de la Escuela Superior de Medicina; y el Dr. Jesús Palacios Gómez la Escuela Superior de Física y Matemáticas </w:t>
      </w:r>
      <w:r w:rsidRPr="00ED14BB">
        <w:rPr>
          <w:noProof/>
        </w:rPr>
        <w:t>(Sevilla Hernández, 1983; H. Consejo Académico de Graduados del IPN, 1983)</w:t>
      </w:r>
      <w:r w:rsidRPr="000E7AB7">
        <w:t>.</w:t>
      </w:r>
    </w:p>
  </w:footnote>
  <w:footnote w:id="8">
    <w:p w:rsidR="008979D4" w:rsidRPr="000E7AB7" w:rsidRDefault="008979D4" w:rsidP="00356E67">
      <w:pPr>
        <w:pStyle w:val="Textonotapie"/>
        <w:rPr>
          <w:szCs w:val="18"/>
        </w:rPr>
      </w:pPr>
      <w:r w:rsidRPr="000E7AB7">
        <w:rPr>
          <w:rStyle w:val="Refdenotaalpie"/>
          <w:szCs w:val="18"/>
        </w:rPr>
        <w:footnoteRef/>
      </w:r>
      <w:r w:rsidRPr="000E7AB7">
        <w:rPr>
          <w:szCs w:val="18"/>
        </w:rPr>
        <w:t xml:space="preserve"> De acuerdo con lo dispuesto en la Ley Orgánica del Instituto Politécnico Nacional, el Reglamento de Cursos de Graduados en vigor y la aprobación del H. Consejo General Consultivo en su sesión del 29 de septiembre de 1983.</w:t>
      </w:r>
    </w:p>
  </w:footnote>
  <w:footnote w:id="9">
    <w:p w:rsidR="008979D4" w:rsidRPr="000E7AB7" w:rsidRDefault="008979D4" w:rsidP="00356E67">
      <w:pPr>
        <w:pStyle w:val="Textonotapie"/>
        <w:rPr>
          <w:szCs w:val="18"/>
        </w:rPr>
      </w:pPr>
      <w:r w:rsidRPr="000E7AB7">
        <w:rPr>
          <w:rStyle w:val="Refdenotaalpie"/>
          <w:szCs w:val="18"/>
        </w:rPr>
        <w:footnoteRef/>
      </w:r>
      <w:r w:rsidRPr="000E7AB7">
        <w:rPr>
          <w:szCs w:val="18"/>
        </w:rPr>
        <w:t xml:space="preserve"> Participaron: Guillermo </w:t>
      </w:r>
      <w:proofErr w:type="spellStart"/>
      <w:r w:rsidRPr="000E7AB7">
        <w:rPr>
          <w:szCs w:val="18"/>
        </w:rPr>
        <w:t>Aullet</w:t>
      </w:r>
      <w:proofErr w:type="spellEnd"/>
      <w:r w:rsidRPr="000E7AB7">
        <w:rPr>
          <w:szCs w:val="18"/>
        </w:rPr>
        <w:t xml:space="preserve">; Xavier Gamboa, como secretario del colegio; Alfredo de la Lama, Humberto Monteón y Onofre Rojo, además como invitados Ana María Ibarra, María Elena Peniche, Javier Sánchez y David </w:t>
      </w:r>
      <w:proofErr w:type="spellStart"/>
      <w:r w:rsidRPr="000E7AB7">
        <w:rPr>
          <w:szCs w:val="18"/>
        </w:rPr>
        <w:t>Ziman</w:t>
      </w:r>
      <w:proofErr w:type="spellEnd"/>
      <w:r w:rsidRPr="000E7AB7">
        <w:rPr>
          <w:szCs w:val="18"/>
        </w:rPr>
        <w:t>.</w:t>
      </w:r>
    </w:p>
  </w:footnote>
  <w:footnote w:id="10">
    <w:p w:rsidR="008979D4" w:rsidRPr="004E59C3" w:rsidRDefault="008979D4" w:rsidP="00356E67">
      <w:pPr>
        <w:pStyle w:val="Textonotapie"/>
      </w:pPr>
      <w:r>
        <w:rPr>
          <w:rStyle w:val="Refdenotaalpie"/>
        </w:rPr>
        <w:footnoteRef/>
      </w:r>
      <w:r>
        <w:t xml:space="preserve"> </w:t>
      </w:r>
      <w:r w:rsidRPr="004E59C3">
        <w:t>En 1997 sale del PESTyC Luis Mauricio y se integra al CIEMAD y luego se reincorpora al CIECAS (antes de que la MCMC pasara a dicho Centro).</w:t>
      </w:r>
    </w:p>
  </w:footnote>
  <w:footnote w:id="11">
    <w:p w:rsidR="008979D4" w:rsidRPr="000E7AB7" w:rsidRDefault="008979D4" w:rsidP="00356E67">
      <w:pPr>
        <w:pStyle w:val="Textonotapie"/>
        <w:rPr>
          <w:szCs w:val="18"/>
        </w:rPr>
      </w:pPr>
      <w:r w:rsidRPr="000E7AB7">
        <w:rPr>
          <w:rStyle w:val="Refdenotaalpie"/>
          <w:szCs w:val="18"/>
        </w:rPr>
        <w:footnoteRef/>
      </w:r>
      <w:r w:rsidRPr="000E7AB7">
        <w:rPr>
          <w:szCs w:val="18"/>
        </w:rPr>
        <w:t xml:space="preserve"> El Dr. Ismael Ledesma Mateos de la FES Iztacala de la UNAM y el Dr. Antonio Arellano Hernández de la Facultad de Ciencias Políticas y Administración Pública de la UAEM. </w:t>
      </w:r>
    </w:p>
  </w:footnote>
  <w:footnote w:id="12">
    <w:p w:rsidR="008979D4" w:rsidRDefault="008979D4">
      <w:pPr>
        <w:pStyle w:val="Textonotapie"/>
      </w:pPr>
      <w:r>
        <w:rPr>
          <w:rStyle w:val="Refdenotaalpie"/>
        </w:rPr>
        <w:footnoteRef/>
      </w:r>
      <w:r>
        <w:t xml:space="preserve"> Se hace constancia de que se recurrió al estilo de redacción del formato APA durante la elaboración de este documento, sin embargo, la misma Asociación establece que sus criterios están dirigidos a la construcción de artículos que serán indexados en revistas académicas y deberán ser adecuados al redactar tesis. Sin embargo, estableciendo que la tesis es una postura personal, me permito (solo en esta parte del documento) redactar mi historia de manera personal.</w:t>
      </w:r>
    </w:p>
  </w:footnote>
  <w:footnote w:id="13">
    <w:p w:rsidR="008979D4" w:rsidRPr="00E96ED5" w:rsidRDefault="008979D4" w:rsidP="00356E67">
      <w:pPr>
        <w:pStyle w:val="Textonotapie"/>
      </w:pPr>
      <w:r>
        <w:rPr>
          <w:rStyle w:val="Refdenotaalpie"/>
        </w:rPr>
        <w:footnoteRef/>
      </w:r>
      <w:r>
        <w:t xml:space="preserve"> </w:t>
      </w:r>
      <w:r w:rsidRPr="00E96ED5">
        <w:t xml:space="preserve">Programación Docente Ciclo enero-junio de 2008, aprobada en Acuerdo 66 de </w:t>
      </w:r>
      <w:smartTag w:uri="urn:schemas-microsoft-com:office:smarttags" w:element="PersonName">
        <w:smartTagPr>
          <w:attr w:name="ProductID" w:val="la Sesi￳n X"/>
        </w:smartTagPr>
        <w:smartTag w:uri="urn:schemas-microsoft-com:office:smarttags" w:element="PersonName">
          <w:smartTagPr>
            <w:attr w:name="ProductID" w:val="la Sesi￳n"/>
          </w:smartTagPr>
          <w:r w:rsidRPr="00E96ED5">
            <w:t>la Sesión</w:t>
          </w:r>
        </w:smartTag>
        <w:r w:rsidRPr="00E96ED5">
          <w:t xml:space="preserve"> X</w:t>
        </w:r>
      </w:smartTag>
      <w:r w:rsidRPr="00E96ED5">
        <w:t xml:space="preserve"> Ordinaria, celebrada el día jueves 25 de octubre de 2007</w:t>
      </w:r>
    </w:p>
    <w:p w:rsidR="008979D4" w:rsidRPr="00E96ED5" w:rsidRDefault="008979D4" w:rsidP="00356E67">
      <w:pPr>
        <w:pStyle w:val="Textonotapie"/>
      </w:pPr>
    </w:p>
  </w:footnote>
  <w:footnote w:id="14">
    <w:p w:rsidR="008979D4" w:rsidRPr="000E7AB7" w:rsidRDefault="008979D4" w:rsidP="00356E67">
      <w:pPr>
        <w:spacing w:line="240" w:lineRule="auto"/>
        <w:rPr>
          <w:sz w:val="18"/>
          <w:szCs w:val="18"/>
        </w:rPr>
      </w:pPr>
      <w:r w:rsidRPr="000E7AB7">
        <w:rPr>
          <w:rStyle w:val="Refdenotaalpie"/>
          <w:szCs w:val="18"/>
        </w:rPr>
        <w:footnoteRef/>
      </w:r>
      <w:r w:rsidRPr="000E7AB7">
        <w:rPr>
          <w:sz w:val="18"/>
          <w:szCs w:val="18"/>
        </w:rPr>
        <w:t xml:space="preserve"> La Comisión estuvo integrada por el Dr. Juan González García, el Mtro. Pedro Mendoza Acosta, el Dr. Humberto </w:t>
      </w:r>
      <w:proofErr w:type="spellStart"/>
      <w:r w:rsidRPr="000E7AB7">
        <w:rPr>
          <w:sz w:val="18"/>
          <w:szCs w:val="18"/>
        </w:rPr>
        <w:t>Merrit</w:t>
      </w:r>
      <w:proofErr w:type="spellEnd"/>
      <w:r w:rsidRPr="000E7AB7">
        <w:rPr>
          <w:sz w:val="18"/>
          <w:szCs w:val="18"/>
        </w:rPr>
        <w:t xml:space="preserve"> Tapia y el Dr. Humberto Ponce </w:t>
      </w:r>
      <w:proofErr w:type="spellStart"/>
      <w:r w:rsidRPr="000E7AB7">
        <w:rPr>
          <w:sz w:val="18"/>
          <w:szCs w:val="18"/>
        </w:rPr>
        <w:t>Talancón</w:t>
      </w:r>
      <w:proofErr w:type="spellEnd"/>
      <w:r w:rsidRPr="000E7AB7">
        <w:rPr>
          <w:sz w:val="18"/>
          <w:szCs w:val="18"/>
        </w:rPr>
        <w:t xml:space="preserve"> el 8 de enero de 2009, durante la dirección del Dr. Mario Sánchez Silva</w:t>
      </w:r>
      <w:sdt>
        <w:sdtPr>
          <w:rPr>
            <w:sz w:val="18"/>
            <w:szCs w:val="18"/>
          </w:rPr>
          <w:id w:val="767121"/>
          <w:citation/>
        </w:sdtPr>
        <w:sdtEndPr/>
        <w:sdtContent>
          <w:r w:rsidRPr="000E7AB7">
            <w:rPr>
              <w:sz w:val="18"/>
              <w:szCs w:val="18"/>
            </w:rPr>
            <w:fldChar w:fldCharType="begin"/>
          </w:r>
          <w:r w:rsidRPr="000E7AB7">
            <w:rPr>
              <w:sz w:val="18"/>
              <w:szCs w:val="18"/>
            </w:rPr>
            <w:instrText xml:space="preserve"> CITATION Gon09 \l 2058 </w:instrText>
          </w:r>
          <w:r w:rsidRPr="000E7AB7">
            <w:rPr>
              <w:sz w:val="18"/>
              <w:szCs w:val="18"/>
            </w:rPr>
            <w:fldChar w:fldCharType="separate"/>
          </w:r>
          <w:r>
            <w:rPr>
              <w:noProof/>
              <w:sz w:val="18"/>
              <w:szCs w:val="18"/>
            </w:rPr>
            <w:t xml:space="preserve"> </w:t>
          </w:r>
          <w:r w:rsidRPr="00356E67">
            <w:rPr>
              <w:noProof/>
              <w:sz w:val="18"/>
              <w:szCs w:val="18"/>
            </w:rPr>
            <w:t>(González García, Mendoza Acosta, &amp; Merrit Tapia, 2009)</w:t>
          </w:r>
          <w:r w:rsidRPr="000E7AB7">
            <w:rPr>
              <w:sz w:val="18"/>
              <w:szCs w:val="18"/>
            </w:rPr>
            <w:fldChar w:fldCharType="end"/>
          </w:r>
        </w:sdtContent>
      </w:sdt>
      <w:r w:rsidRPr="000E7AB7">
        <w:rPr>
          <w:sz w:val="18"/>
          <w:szCs w:val="18"/>
        </w:rPr>
        <w:t>.</w:t>
      </w:r>
    </w:p>
    <w:p w:rsidR="008979D4" w:rsidRPr="005944A1" w:rsidRDefault="008979D4" w:rsidP="00356E67">
      <w:pPr>
        <w:pStyle w:val="Textonotapie"/>
      </w:pPr>
    </w:p>
  </w:footnote>
  <w:footnote w:id="15">
    <w:p w:rsidR="008979D4" w:rsidRPr="005E02DF" w:rsidRDefault="008979D4" w:rsidP="00356E67">
      <w:pPr>
        <w:pStyle w:val="Textonotapie"/>
        <w:rPr>
          <w:szCs w:val="18"/>
        </w:rPr>
      </w:pPr>
      <w:r>
        <w:rPr>
          <w:rStyle w:val="Refdenotaalpie"/>
        </w:rPr>
        <w:footnoteRef/>
      </w:r>
      <w:r>
        <w:t xml:space="preserve"> </w:t>
      </w:r>
      <w:r w:rsidRPr="005E02DF">
        <w:rPr>
          <w:szCs w:val="18"/>
        </w:rPr>
        <w:t>En el periodo de 1994-2000, la matrícula se incrementó un 140%; para el periodo 2001-2002 aumentó un 15% en relación al ciclo anterior</w:t>
      </w:r>
      <w:r>
        <w:rPr>
          <w:szCs w:val="18"/>
        </w:rPr>
        <w:t>. En ese mismo ciclo se crearon dos maestrías, dos doctorados y una especialidad</w:t>
      </w:r>
      <w:r w:rsidRPr="005E02DF">
        <w:rPr>
          <w:szCs w:val="18"/>
        </w:rPr>
        <w:t>.</w:t>
      </w:r>
    </w:p>
  </w:footnote>
  <w:footnote w:id="16">
    <w:p w:rsidR="008979D4" w:rsidRPr="00953A18" w:rsidRDefault="008979D4" w:rsidP="00356E67">
      <w:pPr>
        <w:pStyle w:val="Textonotapie"/>
        <w:rPr>
          <w:szCs w:val="18"/>
        </w:rPr>
      </w:pPr>
      <w:r w:rsidRPr="00953A18">
        <w:rPr>
          <w:rStyle w:val="Refdenotaalpie"/>
          <w:szCs w:val="18"/>
        </w:rPr>
        <w:footnoteRef/>
      </w:r>
      <w:r w:rsidRPr="00953A18">
        <w:rPr>
          <w:szCs w:val="18"/>
        </w:rPr>
        <w:t xml:space="preserve"> En el 2001, 25 programas (14 de maestría y 11 de doctorado) estaban registrados en el PNP del CONACyT, siete con plena aceptación, 17 condicionados a realizar mejoras y uno en la categoría de programa emergente; 54 programas de maestría y doctorado requieren de alumnos con dedicación de tiempo completo </w:t>
      </w:r>
      <w:sdt>
        <w:sdtPr>
          <w:rPr>
            <w:szCs w:val="18"/>
          </w:rPr>
          <w:id w:val="767122"/>
          <w:citation/>
        </w:sdtPr>
        <w:sdtEndPr/>
        <w:sdtContent>
          <w:r w:rsidRPr="00953A18">
            <w:rPr>
              <w:szCs w:val="18"/>
            </w:rPr>
            <w:fldChar w:fldCharType="begin"/>
          </w:r>
          <w:r w:rsidRPr="00953A18">
            <w:rPr>
              <w:szCs w:val="18"/>
            </w:rPr>
            <w:instrText xml:space="preserve"> CITATION IPNo4 \l 2058 </w:instrText>
          </w:r>
          <w:r w:rsidRPr="00953A18">
            <w:rPr>
              <w:szCs w:val="18"/>
            </w:rPr>
            <w:fldChar w:fldCharType="separate"/>
          </w:r>
          <w:r w:rsidRPr="00356E67">
            <w:rPr>
              <w:noProof/>
              <w:szCs w:val="18"/>
            </w:rPr>
            <w:t>(IPN, 2004, Cuaderno 4)</w:t>
          </w:r>
          <w:r w:rsidRPr="00953A18">
            <w:rPr>
              <w:szCs w:val="18"/>
            </w:rPr>
            <w:fldChar w:fldCharType="end"/>
          </w:r>
        </w:sdtContent>
      </w:sdt>
    </w:p>
  </w:footnote>
  <w:footnote w:id="17">
    <w:p w:rsidR="008979D4" w:rsidRPr="004B0D5C" w:rsidRDefault="008979D4" w:rsidP="00356E67">
      <w:pPr>
        <w:pStyle w:val="Textonotapie"/>
        <w:rPr>
          <w:szCs w:val="18"/>
        </w:rPr>
      </w:pPr>
      <w:r w:rsidRPr="004B0D5C">
        <w:rPr>
          <w:rStyle w:val="Refdenotaalpie"/>
          <w:szCs w:val="18"/>
        </w:rPr>
        <w:footnoteRef/>
      </w:r>
      <w:r w:rsidRPr="004B0D5C">
        <w:rPr>
          <w:szCs w:val="18"/>
        </w:rPr>
        <w:t xml:space="preserve"> </w:t>
      </w:r>
      <w:r>
        <w:rPr>
          <w:szCs w:val="18"/>
        </w:rPr>
        <w:t xml:space="preserve">En el </w:t>
      </w:r>
      <w:r w:rsidRPr="004B0D5C">
        <w:rPr>
          <w:szCs w:val="18"/>
        </w:rPr>
        <w:t xml:space="preserve">año 2002 se contaba con </w:t>
      </w:r>
      <w:r>
        <w:rPr>
          <w:szCs w:val="18"/>
        </w:rPr>
        <w:t xml:space="preserve">solo </w:t>
      </w:r>
      <w:r w:rsidRPr="004B0D5C">
        <w:rPr>
          <w:szCs w:val="18"/>
        </w:rPr>
        <w:t>206 académicos que realizaban actividades de investigación</w:t>
      </w:r>
      <w:r>
        <w:rPr>
          <w:szCs w:val="18"/>
        </w:rPr>
        <w:t>,</w:t>
      </w:r>
      <w:r w:rsidRPr="004B0D5C">
        <w:rPr>
          <w:szCs w:val="18"/>
        </w:rPr>
        <w:t xml:space="preserve"> la producción de ellos fue de 527 artículos publicados en revistas internacionales entre abril del 2000 y marzo de 2002 </w:t>
      </w:r>
      <w:sdt>
        <w:sdtPr>
          <w:rPr>
            <w:szCs w:val="18"/>
          </w:rPr>
          <w:id w:val="767123"/>
          <w:citation/>
        </w:sdtPr>
        <w:sdtEndPr/>
        <w:sdtContent>
          <w:r w:rsidRPr="004B0D5C">
            <w:rPr>
              <w:szCs w:val="18"/>
            </w:rPr>
            <w:fldChar w:fldCharType="begin"/>
          </w:r>
          <w:r w:rsidRPr="004B0D5C">
            <w:rPr>
              <w:szCs w:val="18"/>
            </w:rPr>
            <w:instrText xml:space="preserve"> CITATION IPNo4 \l 2058 </w:instrText>
          </w:r>
          <w:r w:rsidRPr="004B0D5C">
            <w:rPr>
              <w:szCs w:val="18"/>
            </w:rPr>
            <w:fldChar w:fldCharType="separate"/>
          </w:r>
          <w:r w:rsidRPr="00356E67">
            <w:rPr>
              <w:noProof/>
              <w:szCs w:val="18"/>
            </w:rPr>
            <w:t>(IPN, 2004, Cuaderno 4)</w:t>
          </w:r>
          <w:r w:rsidRPr="004B0D5C">
            <w:rPr>
              <w:szCs w:val="18"/>
            </w:rPr>
            <w:fldChar w:fldCharType="end"/>
          </w:r>
        </w:sdtContent>
      </w:sdt>
    </w:p>
  </w:footnote>
  <w:footnote w:id="18">
    <w:p w:rsidR="008979D4" w:rsidRPr="006765C1" w:rsidRDefault="008979D4" w:rsidP="00356E67">
      <w:pPr>
        <w:pStyle w:val="Textonotapie"/>
      </w:pPr>
      <w:r>
        <w:rPr>
          <w:rStyle w:val="Refdenotaalpie"/>
        </w:rPr>
        <w:footnoteRef/>
      </w:r>
      <w:r>
        <w:t xml:space="preserve"> Consideración de la autora</w:t>
      </w:r>
    </w:p>
  </w:footnote>
  <w:footnote w:id="19">
    <w:p w:rsidR="008979D4" w:rsidRPr="00E507A6" w:rsidRDefault="008979D4" w:rsidP="00356E67">
      <w:pPr>
        <w:pStyle w:val="Textonotapie"/>
        <w:rPr>
          <w:szCs w:val="18"/>
        </w:rPr>
      </w:pPr>
      <w:r w:rsidRPr="00063374">
        <w:rPr>
          <w:rStyle w:val="Refdenotaalpie"/>
          <w:szCs w:val="18"/>
        </w:rPr>
        <w:footnoteRef/>
      </w:r>
      <w:r w:rsidRPr="00063374">
        <w:rPr>
          <w:szCs w:val="18"/>
        </w:rPr>
        <w:t xml:space="preserve"> </w:t>
      </w:r>
      <w:r>
        <w:rPr>
          <w:rFonts w:cs="BerkeleyStd-Book"/>
          <w:szCs w:val="18"/>
        </w:rPr>
        <w:t>C</w:t>
      </w:r>
      <w:r w:rsidRPr="00063374">
        <w:rPr>
          <w:rFonts w:cs="BerkeleyStd-Book"/>
          <w:szCs w:val="18"/>
        </w:rPr>
        <w:t xml:space="preserve">onformado por la Secretaría de Hacienda y Crédito Público, la Secretaría de Educación </w:t>
      </w:r>
      <w:r w:rsidRPr="00E507A6">
        <w:rPr>
          <w:rFonts w:cs="BerkeleyStd-Book"/>
          <w:szCs w:val="18"/>
        </w:rPr>
        <w:t>Pública y la Secretaría de Programación y Presupuesto, ahora extinta</w:t>
      </w:r>
    </w:p>
  </w:footnote>
  <w:footnote w:id="20">
    <w:p w:rsidR="008979D4" w:rsidRPr="00E507A6" w:rsidRDefault="008979D4" w:rsidP="00356E67">
      <w:pPr>
        <w:pStyle w:val="Textonotapie"/>
        <w:rPr>
          <w:szCs w:val="18"/>
        </w:rPr>
      </w:pPr>
      <w:r w:rsidRPr="00E507A6">
        <w:rPr>
          <w:rStyle w:val="Refdenotaalpie"/>
          <w:szCs w:val="18"/>
        </w:rPr>
        <w:footnoteRef/>
      </w:r>
      <w:r w:rsidRPr="00E507A6">
        <w:rPr>
          <w:szCs w:val="18"/>
        </w:rPr>
        <w:t xml:space="preserve"> Este documento se ha estado buscando, sin embargo, incluso en el CONACyT indican que no tienen copia de él.</w:t>
      </w:r>
    </w:p>
  </w:footnote>
  <w:footnote w:id="21">
    <w:p w:rsidR="008979D4" w:rsidRPr="009A1DD4" w:rsidRDefault="008979D4" w:rsidP="00356E67">
      <w:pPr>
        <w:autoSpaceDE w:val="0"/>
        <w:autoSpaceDN w:val="0"/>
        <w:adjustRightInd w:val="0"/>
        <w:spacing w:line="240" w:lineRule="auto"/>
        <w:jc w:val="left"/>
        <w:rPr>
          <w:rFonts w:cs="AGaramond-Regular"/>
          <w:i/>
          <w:sz w:val="18"/>
          <w:szCs w:val="18"/>
        </w:rPr>
      </w:pPr>
      <w:r w:rsidRPr="009A1DD4">
        <w:rPr>
          <w:rStyle w:val="Refdenotaalpie"/>
          <w:sz w:val="18"/>
          <w:szCs w:val="18"/>
        </w:rPr>
        <w:footnoteRef/>
      </w:r>
      <w:r w:rsidRPr="009A1DD4">
        <w:rPr>
          <w:sz w:val="18"/>
          <w:szCs w:val="18"/>
        </w:rPr>
        <w:t xml:space="preserve"> Es importante mencionar que dicho glosario también pretende cubrir la necesidad de que </w:t>
      </w:r>
      <w:r>
        <w:rPr>
          <w:sz w:val="18"/>
          <w:szCs w:val="18"/>
        </w:rPr>
        <w:t xml:space="preserve">durante la </w:t>
      </w:r>
      <w:r w:rsidRPr="009A1DD4">
        <w:rPr>
          <w:sz w:val="18"/>
          <w:szCs w:val="18"/>
        </w:rPr>
        <w:t>captura</w:t>
      </w:r>
      <w:r>
        <w:rPr>
          <w:sz w:val="18"/>
          <w:szCs w:val="18"/>
        </w:rPr>
        <w:t xml:space="preserve"> de </w:t>
      </w:r>
      <w:r w:rsidRPr="009A1DD4">
        <w:rPr>
          <w:sz w:val="18"/>
          <w:szCs w:val="18"/>
        </w:rPr>
        <w:t>solicitudes en la plataforma electrónica del PNCP</w:t>
      </w:r>
      <w:r>
        <w:rPr>
          <w:sz w:val="18"/>
          <w:szCs w:val="18"/>
        </w:rPr>
        <w:t>,</w:t>
      </w:r>
      <w:r w:rsidRPr="009A1DD4">
        <w:rPr>
          <w:sz w:val="18"/>
          <w:szCs w:val="18"/>
        </w:rPr>
        <w:t xml:space="preserve"> se utilizan términos idénticos de los criterios y estándares con significados diferentes dependiendo las orientaciones de los posgrados</w:t>
      </w:r>
      <w:r>
        <w:rPr>
          <w:sz w:val="18"/>
          <w:szCs w:val="18"/>
        </w:rPr>
        <w:t xml:space="preserve"> </w:t>
      </w:r>
      <w:sdt>
        <w:sdtPr>
          <w:rPr>
            <w:sz w:val="18"/>
            <w:szCs w:val="18"/>
          </w:rPr>
          <w:id w:val="767124"/>
          <w:citation/>
        </w:sdtPr>
        <w:sdtEndPr/>
        <w:sdtContent>
          <w:r>
            <w:rPr>
              <w:sz w:val="18"/>
              <w:szCs w:val="18"/>
            </w:rPr>
            <w:fldChar w:fldCharType="begin"/>
          </w:r>
          <w:r>
            <w:rPr>
              <w:sz w:val="18"/>
              <w:szCs w:val="18"/>
            </w:rPr>
            <w:instrText xml:space="preserve"> CITATION CON10 \l 2058 </w:instrText>
          </w:r>
          <w:r>
            <w:rPr>
              <w:sz w:val="18"/>
              <w:szCs w:val="18"/>
            </w:rPr>
            <w:fldChar w:fldCharType="separate"/>
          </w:r>
          <w:r w:rsidRPr="009A1DD4">
            <w:rPr>
              <w:noProof/>
              <w:sz w:val="18"/>
              <w:szCs w:val="18"/>
            </w:rPr>
            <w:t>(CONACyT, 2010)</w:t>
          </w:r>
          <w:r>
            <w:rPr>
              <w:sz w:val="18"/>
              <w:szCs w:val="18"/>
            </w:rPr>
            <w:fldChar w:fldCharType="end"/>
          </w:r>
        </w:sdtContent>
      </w:sdt>
    </w:p>
    <w:p w:rsidR="008979D4" w:rsidRPr="009A1DD4" w:rsidRDefault="008979D4" w:rsidP="00356E67">
      <w:pPr>
        <w:pStyle w:val="Textonotapie"/>
      </w:pPr>
    </w:p>
  </w:footnote>
  <w:footnote w:id="22">
    <w:p w:rsidR="008979D4" w:rsidRPr="007561F6" w:rsidRDefault="008979D4" w:rsidP="00356E67">
      <w:pPr>
        <w:pStyle w:val="Textonotapie"/>
        <w:rPr>
          <w:szCs w:val="18"/>
        </w:rPr>
      </w:pPr>
      <w:r w:rsidRPr="00172EE7">
        <w:rPr>
          <w:rStyle w:val="Refdenotaalpie"/>
          <w:szCs w:val="18"/>
        </w:rPr>
        <w:footnoteRef/>
      </w:r>
      <w:r w:rsidRPr="00172EE7">
        <w:rPr>
          <w:szCs w:val="18"/>
        </w:rPr>
        <w:t xml:space="preserve"> Aún cuando no serán objeto de análisis en este trabajo, es necesario mencionar que además de la diferenciación por orientación, también se consideran otras orientaciones. Como </w:t>
      </w:r>
      <w:r w:rsidRPr="007561F6">
        <w:rPr>
          <w:szCs w:val="18"/>
        </w:rPr>
        <w:t xml:space="preserve">la clasificación de los programas mediados por tecnologías de la información y comunicación, en donde se incluyen posgrados a distancia con diferentes modalidades: no escolarizada (estudio independiente, aula remota, modelo interactivo), mixta (híbrido: combinan la modalidad presencial y la a distancia) </w:t>
      </w:r>
      <w:sdt>
        <w:sdtPr>
          <w:rPr>
            <w:szCs w:val="18"/>
          </w:rPr>
          <w:id w:val="767125"/>
          <w:citation/>
        </w:sdtPr>
        <w:sdtEndPr/>
        <w:sdtContent>
          <w:r w:rsidRPr="007561F6">
            <w:rPr>
              <w:szCs w:val="18"/>
            </w:rPr>
            <w:fldChar w:fldCharType="begin"/>
          </w:r>
          <w:r w:rsidRPr="007561F6">
            <w:rPr>
              <w:szCs w:val="18"/>
            </w:rPr>
            <w:instrText xml:space="preserve"> CITATION CON10 \l 2058 </w:instrText>
          </w:r>
          <w:r w:rsidRPr="007561F6">
            <w:rPr>
              <w:szCs w:val="18"/>
            </w:rPr>
            <w:fldChar w:fldCharType="separate"/>
          </w:r>
          <w:r w:rsidRPr="007561F6">
            <w:rPr>
              <w:noProof/>
              <w:szCs w:val="18"/>
            </w:rPr>
            <w:t>(CONACyT, 2010)</w:t>
          </w:r>
          <w:r w:rsidRPr="007561F6">
            <w:rPr>
              <w:szCs w:val="18"/>
            </w:rPr>
            <w:fldChar w:fldCharType="end"/>
          </w:r>
        </w:sdtContent>
      </w:sdt>
      <w:r w:rsidRPr="007561F6">
        <w:rPr>
          <w:szCs w:val="18"/>
        </w:rPr>
        <w:t>.</w:t>
      </w:r>
    </w:p>
  </w:footnote>
  <w:footnote w:id="23">
    <w:p w:rsidR="008979D4" w:rsidRPr="00FA3D34" w:rsidRDefault="008979D4" w:rsidP="00FA0F4B">
      <w:pPr>
        <w:pStyle w:val="Textonotapie"/>
      </w:pPr>
      <w:r>
        <w:rPr>
          <w:rStyle w:val="Refdenotaalpie"/>
          <w:rFonts w:eastAsiaTheme="majorEastAsia"/>
        </w:rPr>
        <w:footnoteRef/>
      </w:r>
      <w:r>
        <w:t xml:space="preserve"> Revisión realizada en el primer semestre de 2008, el conteo fue por obra y no por ejemplares.</w:t>
      </w:r>
    </w:p>
  </w:footnote>
  <w:footnote w:id="24">
    <w:p w:rsidR="008979D4" w:rsidRPr="005B553D" w:rsidRDefault="008979D4" w:rsidP="001C3F30">
      <w:pPr>
        <w:pStyle w:val="Textonotapie"/>
      </w:pPr>
      <w:r>
        <w:rPr>
          <w:rStyle w:val="Refdenotaalpie"/>
        </w:rPr>
        <w:footnoteRef/>
      </w:r>
      <w:r>
        <w:t xml:space="preserve"> La inexactitud se debe a la carencia de información sobre el perfil de dos profesores</w:t>
      </w:r>
    </w:p>
  </w:footnote>
  <w:footnote w:id="25">
    <w:p w:rsidR="008979D4" w:rsidRPr="005B553D" w:rsidRDefault="008979D4" w:rsidP="001C3F30">
      <w:pPr>
        <w:pStyle w:val="Textonotapie"/>
      </w:pPr>
      <w:r>
        <w:rPr>
          <w:rStyle w:val="Refdenotaalpie"/>
        </w:rPr>
        <w:footnoteRef/>
      </w:r>
      <w:r>
        <w:t xml:space="preserve"> La inexactitud se debe a la carencia de información sobre el perfil de dos profesores</w:t>
      </w:r>
    </w:p>
  </w:footnote>
  <w:footnote w:id="26">
    <w:p w:rsidR="008979D4" w:rsidRPr="005B553D" w:rsidRDefault="008979D4" w:rsidP="001C3F30">
      <w:pPr>
        <w:pStyle w:val="Textonotapie"/>
      </w:pPr>
      <w:r>
        <w:rPr>
          <w:rStyle w:val="Refdenotaalpie"/>
        </w:rPr>
        <w:footnoteRef/>
      </w:r>
      <w:r>
        <w:t xml:space="preserve"> Las cursivas indican cita textual al artículo (p. 7).</w:t>
      </w:r>
    </w:p>
  </w:footnote>
  <w:footnote w:id="27">
    <w:p w:rsidR="008979D4" w:rsidRPr="0080171E" w:rsidRDefault="008979D4" w:rsidP="001C3F30">
      <w:pPr>
        <w:pStyle w:val="Textonotapie"/>
      </w:pPr>
      <w:r>
        <w:rPr>
          <w:rStyle w:val="Refdenotaalpie"/>
        </w:rPr>
        <w:footnoteRef/>
      </w:r>
      <w:r>
        <w:t xml:space="preserve"> Son ideas textuales, solo se cambió el formato de presentación a viñetas para facilitar su manejo.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r w:rsidRPr="004945A5">
      <w:rPr>
        <w:sz w:val="16"/>
        <w:szCs w:val="16"/>
      </w:rPr>
      <w:t>Resumen/</w:t>
    </w:r>
    <w:proofErr w:type="spellStart"/>
    <w:r w:rsidRPr="004945A5">
      <w:rPr>
        <w:sz w:val="16"/>
        <w:szCs w:val="16"/>
      </w:rPr>
      <w:t>Abstract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r>
      <w:rPr>
        <w:sz w:val="16"/>
        <w:szCs w:val="16"/>
      </w:rPr>
      <w:t>Introducción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r>
      <w:rPr>
        <w:sz w:val="16"/>
        <w:szCs w:val="16"/>
      </w:rPr>
      <w:t xml:space="preserve">MCMC: un debate entre la orientación </w:t>
    </w:r>
    <w:r w:rsidRPr="00A47F50">
      <w:rPr>
        <w:sz w:val="16"/>
        <w:szCs w:val="16"/>
      </w:rPr>
      <w:t xml:space="preserve">a la investigación </w:t>
    </w:r>
    <w:r>
      <w:rPr>
        <w:sz w:val="16"/>
        <w:szCs w:val="16"/>
      </w:rPr>
      <w:t xml:space="preserve">y la orientación </w:t>
    </w:r>
    <w:r w:rsidRPr="00A47F50">
      <w:rPr>
        <w:sz w:val="16"/>
        <w:szCs w:val="16"/>
      </w:rPr>
      <w:t>profesionalizante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r>
      <w:rPr>
        <w:sz w:val="16"/>
        <w:szCs w:val="16"/>
      </w:rPr>
      <w:t>IPN Nuevo Modelo Educativo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proofErr w:type="spellStart"/>
    <w:r>
      <w:rPr>
        <w:sz w:val="16"/>
        <w:szCs w:val="16"/>
      </w:rPr>
      <w:t>CONACyT</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r>
      <w:rPr>
        <w:sz w:val="16"/>
        <w:szCs w:val="16"/>
      </w:rPr>
      <w:t>Conclusiones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r>
      <w:rPr>
        <w:sz w:val="16"/>
        <w:szCs w:val="16"/>
      </w:rPr>
      <w:t>Anexo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4" w:rsidRPr="004945A5" w:rsidRDefault="008979D4" w:rsidP="004945A5">
    <w:pPr>
      <w:pStyle w:val="Encabezado"/>
      <w:jc w:val="center"/>
      <w:rPr>
        <w:sz w:val="16"/>
        <w:szCs w:val="16"/>
      </w:rPr>
    </w:pPr>
    <w:r>
      <w:rPr>
        <w:sz w:val="16"/>
        <w:szCs w:val="16"/>
      </w:rPr>
      <w:t>Referencias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A4D95"/>
    <w:multiLevelType w:val="hybridMultilevel"/>
    <w:tmpl w:val="383708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21B8DCC2"/>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52A3EA1"/>
    <w:multiLevelType w:val="hybridMultilevel"/>
    <w:tmpl w:val="6E8ED2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3353E8"/>
    <w:multiLevelType w:val="hybridMultilevel"/>
    <w:tmpl w:val="37367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1657EF"/>
    <w:multiLevelType w:val="hybridMultilevel"/>
    <w:tmpl w:val="A000A644"/>
    <w:lvl w:ilvl="0" w:tplc="4C5A6EFE">
      <w:start w:val="2"/>
      <w:numFmt w:val="bullet"/>
      <w:lvlText w:val="-"/>
      <w:lvlJc w:val="left"/>
      <w:pPr>
        <w:ind w:left="720" w:hanging="360"/>
      </w:pPr>
      <w:rPr>
        <w:rFonts w:ascii="Bookman Old Style" w:eastAsiaTheme="minorHAnsi" w:hAnsi="Bookman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ED22CE"/>
    <w:multiLevelType w:val="hybridMultilevel"/>
    <w:tmpl w:val="94F60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EE7D44"/>
    <w:multiLevelType w:val="hybridMultilevel"/>
    <w:tmpl w:val="C6D8D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46A62"/>
    <w:multiLevelType w:val="hybridMultilevel"/>
    <w:tmpl w:val="EF6EF45C"/>
    <w:lvl w:ilvl="0" w:tplc="0C0A0017">
      <w:start w:val="1"/>
      <w:numFmt w:val="lowerLetter"/>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4C5A6EFE">
      <w:start w:val="2"/>
      <w:numFmt w:val="bullet"/>
      <w:lvlText w:val="-"/>
      <w:lvlJc w:val="left"/>
      <w:pPr>
        <w:ind w:left="2160" w:hanging="180"/>
      </w:pPr>
      <w:rPr>
        <w:rFonts w:ascii="Bookman Old Style" w:eastAsiaTheme="minorHAnsi" w:hAnsi="Bookman Old Style" w:cstheme="minorBid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2918E5"/>
    <w:multiLevelType w:val="hybridMultilevel"/>
    <w:tmpl w:val="83086E24"/>
    <w:lvl w:ilvl="0" w:tplc="0C0A0017">
      <w:start w:val="1"/>
      <w:numFmt w:val="lowerLetter"/>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C9127E"/>
    <w:multiLevelType w:val="hybridMultilevel"/>
    <w:tmpl w:val="A7DAED0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5BF391F"/>
    <w:multiLevelType w:val="hybridMultilevel"/>
    <w:tmpl w:val="20420FFA"/>
    <w:lvl w:ilvl="0" w:tplc="90989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CC6FBA"/>
    <w:multiLevelType w:val="hybridMultilevel"/>
    <w:tmpl w:val="0596C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1D1934"/>
    <w:multiLevelType w:val="hybridMultilevel"/>
    <w:tmpl w:val="189EC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8858B2"/>
    <w:multiLevelType w:val="hybridMultilevel"/>
    <w:tmpl w:val="D32A99FC"/>
    <w:lvl w:ilvl="0" w:tplc="0C0A0017">
      <w:start w:val="1"/>
      <w:numFmt w:val="lowerLetter"/>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B597FBC"/>
    <w:multiLevelType w:val="hybridMultilevel"/>
    <w:tmpl w:val="30CA3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654CB0"/>
    <w:multiLevelType w:val="hybridMultilevel"/>
    <w:tmpl w:val="78467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6EC0E38"/>
    <w:multiLevelType w:val="hybridMultilevel"/>
    <w:tmpl w:val="69C672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890781A"/>
    <w:multiLevelType w:val="hybridMultilevel"/>
    <w:tmpl w:val="FFC267D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1862D1"/>
    <w:multiLevelType w:val="hybridMultilevel"/>
    <w:tmpl w:val="5F9438A2"/>
    <w:lvl w:ilvl="0" w:tplc="4C5A6EFE">
      <w:start w:val="2"/>
      <w:numFmt w:val="bullet"/>
      <w:lvlText w:val="-"/>
      <w:lvlJc w:val="left"/>
      <w:pPr>
        <w:ind w:left="720" w:hanging="360"/>
      </w:pPr>
      <w:rPr>
        <w:rFonts w:ascii="Bookman Old Style" w:eastAsiaTheme="minorHAnsi" w:hAnsi="Bookman Old Style"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91112A"/>
    <w:multiLevelType w:val="hybridMultilevel"/>
    <w:tmpl w:val="F8626BEC"/>
    <w:lvl w:ilvl="0" w:tplc="68C6050C">
      <w:start w:val="1"/>
      <w:numFmt w:val="lowerLetter"/>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52C1D93"/>
    <w:multiLevelType w:val="hybridMultilevel"/>
    <w:tmpl w:val="8FC61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0815623"/>
    <w:multiLevelType w:val="hybridMultilevel"/>
    <w:tmpl w:val="7DE89EC0"/>
    <w:lvl w:ilvl="0" w:tplc="0C0A0017">
      <w:start w:val="1"/>
      <w:numFmt w:val="lowerLetter"/>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BF4A0C82">
      <w:start w:val="4"/>
      <w:numFmt w:val="bullet"/>
      <w:lvlText w:val="-"/>
      <w:lvlJc w:val="left"/>
      <w:pPr>
        <w:ind w:left="2160" w:hanging="180"/>
      </w:pPr>
      <w:rPr>
        <w:rFonts w:ascii="Century Gothic" w:eastAsiaTheme="minorHAnsi" w:hAnsi="Century Gothic" w:cs="Century Gothic"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1267EC4"/>
    <w:multiLevelType w:val="hybridMultilevel"/>
    <w:tmpl w:val="DDF0F93A"/>
    <w:lvl w:ilvl="0" w:tplc="BF4A0C82">
      <w:start w:val="4"/>
      <w:numFmt w:val="bullet"/>
      <w:lvlText w:val="-"/>
      <w:lvlJc w:val="left"/>
      <w:pPr>
        <w:ind w:left="720" w:hanging="360"/>
      </w:pPr>
      <w:rPr>
        <w:rFonts w:ascii="Century Gothic" w:eastAsiaTheme="minorHAnsi" w:hAnsi="Century Gothic" w:cs="Century Gothic"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3746D3B"/>
    <w:multiLevelType w:val="hybridMultilevel"/>
    <w:tmpl w:val="4C0827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8925649"/>
    <w:multiLevelType w:val="hybridMultilevel"/>
    <w:tmpl w:val="129C2C9C"/>
    <w:lvl w:ilvl="0" w:tplc="E3386E46">
      <w:start w:val="2"/>
      <w:numFmt w:val="lowerRoman"/>
      <w:lvlText w:val="%1."/>
      <w:lvlJc w:val="righ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FDD04F6"/>
    <w:multiLevelType w:val="hybridMultilevel"/>
    <w:tmpl w:val="8F9A72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7"/>
  </w:num>
  <w:num w:numId="3">
    <w:abstractNumId w:val="4"/>
  </w:num>
  <w:num w:numId="4">
    <w:abstractNumId w:val="18"/>
  </w:num>
  <w:num w:numId="5">
    <w:abstractNumId w:val="9"/>
  </w:num>
  <w:num w:numId="6">
    <w:abstractNumId w:val="25"/>
  </w:num>
  <w:num w:numId="7">
    <w:abstractNumId w:val="19"/>
  </w:num>
  <w:num w:numId="8">
    <w:abstractNumId w:val="13"/>
  </w:num>
  <w:num w:numId="9">
    <w:abstractNumId w:val="8"/>
  </w:num>
  <w:num w:numId="10">
    <w:abstractNumId w:val="7"/>
  </w:num>
  <w:num w:numId="11">
    <w:abstractNumId w:val="21"/>
  </w:num>
  <w:num w:numId="12">
    <w:abstractNumId w:val="24"/>
  </w:num>
  <w:num w:numId="13">
    <w:abstractNumId w:val="11"/>
  </w:num>
  <w:num w:numId="14">
    <w:abstractNumId w:val="1"/>
  </w:num>
  <w:num w:numId="15">
    <w:abstractNumId w:val="2"/>
  </w:num>
  <w:num w:numId="16">
    <w:abstractNumId w:val="3"/>
  </w:num>
  <w:num w:numId="17">
    <w:abstractNumId w:val="14"/>
  </w:num>
  <w:num w:numId="18">
    <w:abstractNumId w:val="20"/>
  </w:num>
  <w:num w:numId="19">
    <w:abstractNumId w:val="15"/>
  </w:num>
  <w:num w:numId="20">
    <w:abstractNumId w:val="16"/>
  </w:num>
  <w:num w:numId="21">
    <w:abstractNumId w:val="10"/>
  </w:num>
  <w:num w:numId="22">
    <w:abstractNumId w:val="23"/>
  </w:num>
  <w:num w:numId="23">
    <w:abstractNumId w:val="0"/>
  </w:num>
  <w:num w:numId="24">
    <w:abstractNumId w:val="5"/>
  </w:num>
  <w:num w:numId="25">
    <w:abstractNumId w:val="12"/>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08"/>
  <w:hyphenationZone w:val="425"/>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356E67"/>
    <w:rsid w:val="00006BD4"/>
    <w:rsid w:val="00054961"/>
    <w:rsid w:val="00085C3E"/>
    <w:rsid w:val="00086BBD"/>
    <w:rsid w:val="00090987"/>
    <w:rsid w:val="000B1204"/>
    <w:rsid w:val="000D4508"/>
    <w:rsid w:val="000D4A6F"/>
    <w:rsid w:val="000D6A56"/>
    <w:rsid w:val="000D6AD6"/>
    <w:rsid w:val="000D7FC7"/>
    <w:rsid w:val="00106464"/>
    <w:rsid w:val="00111C53"/>
    <w:rsid w:val="00141618"/>
    <w:rsid w:val="00144910"/>
    <w:rsid w:val="00153D7F"/>
    <w:rsid w:val="0017284D"/>
    <w:rsid w:val="00177025"/>
    <w:rsid w:val="001863AC"/>
    <w:rsid w:val="0019186D"/>
    <w:rsid w:val="00192ECE"/>
    <w:rsid w:val="00196DE3"/>
    <w:rsid w:val="001976CB"/>
    <w:rsid w:val="001B5319"/>
    <w:rsid w:val="001B5355"/>
    <w:rsid w:val="001C3F30"/>
    <w:rsid w:val="001C5E41"/>
    <w:rsid w:val="001D614E"/>
    <w:rsid w:val="001D7BBA"/>
    <w:rsid w:val="001E079A"/>
    <w:rsid w:val="00205790"/>
    <w:rsid w:val="00205F16"/>
    <w:rsid w:val="0021426F"/>
    <w:rsid w:val="0023440A"/>
    <w:rsid w:val="00235BC0"/>
    <w:rsid w:val="00260E6A"/>
    <w:rsid w:val="002665D8"/>
    <w:rsid w:val="00277E0A"/>
    <w:rsid w:val="002B0B9D"/>
    <w:rsid w:val="002B5523"/>
    <w:rsid w:val="002B6F42"/>
    <w:rsid w:val="0030118B"/>
    <w:rsid w:val="00302972"/>
    <w:rsid w:val="00303832"/>
    <w:rsid w:val="00310E78"/>
    <w:rsid w:val="0032388E"/>
    <w:rsid w:val="00325FD6"/>
    <w:rsid w:val="003319F5"/>
    <w:rsid w:val="00356E67"/>
    <w:rsid w:val="00366FC1"/>
    <w:rsid w:val="003766FA"/>
    <w:rsid w:val="003769DB"/>
    <w:rsid w:val="0039401C"/>
    <w:rsid w:val="003A6775"/>
    <w:rsid w:val="003A7796"/>
    <w:rsid w:val="003B4979"/>
    <w:rsid w:val="003C22F3"/>
    <w:rsid w:val="003D48EB"/>
    <w:rsid w:val="003D4F86"/>
    <w:rsid w:val="003E1A0D"/>
    <w:rsid w:val="003E5982"/>
    <w:rsid w:val="003F6836"/>
    <w:rsid w:val="003F6DF8"/>
    <w:rsid w:val="00417E10"/>
    <w:rsid w:val="00425280"/>
    <w:rsid w:val="00425D5B"/>
    <w:rsid w:val="00427F81"/>
    <w:rsid w:val="0043100B"/>
    <w:rsid w:val="00436254"/>
    <w:rsid w:val="00436C36"/>
    <w:rsid w:val="00452B87"/>
    <w:rsid w:val="0045727A"/>
    <w:rsid w:val="004640D5"/>
    <w:rsid w:val="00481A37"/>
    <w:rsid w:val="004945A5"/>
    <w:rsid w:val="004A3831"/>
    <w:rsid w:val="004B2627"/>
    <w:rsid w:val="004B3751"/>
    <w:rsid w:val="004C6D15"/>
    <w:rsid w:val="004D5C4B"/>
    <w:rsid w:val="00527F6A"/>
    <w:rsid w:val="005318EF"/>
    <w:rsid w:val="00535D04"/>
    <w:rsid w:val="00542DDD"/>
    <w:rsid w:val="00546DC8"/>
    <w:rsid w:val="00550243"/>
    <w:rsid w:val="005A3DCF"/>
    <w:rsid w:val="005B6F31"/>
    <w:rsid w:val="005C64EA"/>
    <w:rsid w:val="005D5427"/>
    <w:rsid w:val="005F30D8"/>
    <w:rsid w:val="00612D5E"/>
    <w:rsid w:val="00666BA9"/>
    <w:rsid w:val="0067192B"/>
    <w:rsid w:val="00693F79"/>
    <w:rsid w:val="006A4D17"/>
    <w:rsid w:val="006C7064"/>
    <w:rsid w:val="006D1652"/>
    <w:rsid w:val="006F1986"/>
    <w:rsid w:val="007129DD"/>
    <w:rsid w:val="007131B0"/>
    <w:rsid w:val="0072146B"/>
    <w:rsid w:val="00751A71"/>
    <w:rsid w:val="00766C6B"/>
    <w:rsid w:val="007915D8"/>
    <w:rsid w:val="007D40E8"/>
    <w:rsid w:val="007D6EDA"/>
    <w:rsid w:val="007E22B4"/>
    <w:rsid w:val="007E583D"/>
    <w:rsid w:val="008049EB"/>
    <w:rsid w:val="0084187C"/>
    <w:rsid w:val="00843D5F"/>
    <w:rsid w:val="0085400D"/>
    <w:rsid w:val="008663E2"/>
    <w:rsid w:val="008719B0"/>
    <w:rsid w:val="00872EF6"/>
    <w:rsid w:val="00874A48"/>
    <w:rsid w:val="00876115"/>
    <w:rsid w:val="008936F0"/>
    <w:rsid w:val="008979D4"/>
    <w:rsid w:val="008B0E01"/>
    <w:rsid w:val="008D7401"/>
    <w:rsid w:val="008E038C"/>
    <w:rsid w:val="008F47DE"/>
    <w:rsid w:val="008F5862"/>
    <w:rsid w:val="008F672F"/>
    <w:rsid w:val="008F7314"/>
    <w:rsid w:val="009373A8"/>
    <w:rsid w:val="009463B4"/>
    <w:rsid w:val="00962DE4"/>
    <w:rsid w:val="00964E09"/>
    <w:rsid w:val="00970826"/>
    <w:rsid w:val="00971BEE"/>
    <w:rsid w:val="00976F04"/>
    <w:rsid w:val="009A025F"/>
    <w:rsid w:val="009A109E"/>
    <w:rsid w:val="009A42E3"/>
    <w:rsid w:val="009C1F74"/>
    <w:rsid w:val="009D5466"/>
    <w:rsid w:val="009E476F"/>
    <w:rsid w:val="009F7A3D"/>
    <w:rsid w:val="00A07960"/>
    <w:rsid w:val="00A125B4"/>
    <w:rsid w:val="00A204CB"/>
    <w:rsid w:val="00A2561A"/>
    <w:rsid w:val="00A32E95"/>
    <w:rsid w:val="00A35A0F"/>
    <w:rsid w:val="00A4244E"/>
    <w:rsid w:val="00A47F50"/>
    <w:rsid w:val="00A60139"/>
    <w:rsid w:val="00A75C93"/>
    <w:rsid w:val="00A765F0"/>
    <w:rsid w:val="00A871E6"/>
    <w:rsid w:val="00A87A92"/>
    <w:rsid w:val="00AA0575"/>
    <w:rsid w:val="00AA2C00"/>
    <w:rsid w:val="00AA6C55"/>
    <w:rsid w:val="00AB32CA"/>
    <w:rsid w:val="00AB640B"/>
    <w:rsid w:val="00AC5450"/>
    <w:rsid w:val="00AE18AA"/>
    <w:rsid w:val="00AE3C09"/>
    <w:rsid w:val="00AF0713"/>
    <w:rsid w:val="00B07011"/>
    <w:rsid w:val="00B20C48"/>
    <w:rsid w:val="00B23CB4"/>
    <w:rsid w:val="00B57862"/>
    <w:rsid w:val="00B97B91"/>
    <w:rsid w:val="00BB3D22"/>
    <w:rsid w:val="00BB602B"/>
    <w:rsid w:val="00BD29B1"/>
    <w:rsid w:val="00BF10FE"/>
    <w:rsid w:val="00BF2518"/>
    <w:rsid w:val="00BF6F7F"/>
    <w:rsid w:val="00C05449"/>
    <w:rsid w:val="00C12EE7"/>
    <w:rsid w:val="00C17F8B"/>
    <w:rsid w:val="00C22846"/>
    <w:rsid w:val="00C24301"/>
    <w:rsid w:val="00C34217"/>
    <w:rsid w:val="00C34B46"/>
    <w:rsid w:val="00C66F90"/>
    <w:rsid w:val="00C807CB"/>
    <w:rsid w:val="00C82A61"/>
    <w:rsid w:val="00C8371A"/>
    <w:rsid w:val="00CB33F4"/>
    <w:rsid w:val="00CB46DF"/>
    <w:rsid w:val="00CD3EDA"/>
    <w:rsid w:val="00D00265"/>
    <w:rsid w:val="00D03A1E"/>
    <w:rsid w:val="00D15614"/>
    <w:rsid w:val="00D53C85"/>
    <w:rsid w:val="00D65D71"/>
    <w:rsid w:val="00D76C1A"/>
    <w:rsid w:val="00D91272"/>
    <w:rsid w:val="00D95DAC"/>
    <w:rsid w:val="00D965E9"/>
    <w:rsid w:val="00D96AC8"/>
    <w:rsid w:val="00D96CE0"/>
    <w:rsid w:val="00DA514D"/>
    <w:rsid w:val="00DB33F4"/>
    <w:rsid w:val="00DB492A"/>
    <w:rsid w:val="00DB5DA7"/>
    <w:rsid w:val="00DD0B6E"/>
    <w:rsid w:val="00DE75B3"/>
    <w:rsid w:val="00DF0730"/>
    <w:rsid w:val="00DF4A3F"/>
    <w:rsid w:val="00E066FA"/>
    <w:rsid w:val="00E1583E"/>
    <w:rsid w:val="00E16642"/>
    <w:rsid w:val="00E268C6"/>
    <w:rsid w:val="00E27FE8"/>
    <w:rsid w:val="00E33B3C"/>
    <w:rsid w:val="00E52861"/>
    <w:rsid w:val="00E81886"/>
    <w:rsid w:val="00EB5CF0"/>
    <w:rsid w:val="00EB760B"/>
    <w:rsid w:val="00ED6217"/>
    <w:rsid w:val="00F40D9A"/>
    <w:rsid w:val="00F76DF8"/>
    <w:rsid w:val="00F865DB"/>
    <w:rsid w:val="00F87F6D"/>
    <w:rsid w:val="00FA0F4B"/>
    <w:rsid w:val="00FD1465"/>
    <w:rsid w:val="00FD32A6"/>
    <w:rsid w:val="00FF3DD0"/>
    <w:rsid w:val="00FF4E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697"/>
    <o:shapelayout v:ext="edit">
      <o:idmap v:ext="edit" data="1"/>
      <o:rules v:ext="edit">
        <o:r id="V:Rule15" type="connector" idref="#_x0000_s1041">
          <o:proxy start="" idref="#_x0000_s1034" connectloc="2"/>
          <o:proxy end="" idref="#_x0000_s1028" connectloc="0"/>
        </o:r>
        <o:r id="V:Rule16" type="connector" idref="#_x0000_s1064">
          <o:proxy start="" idref="#_x0000_s1053" connectloc="2"/>
          <o:proxy end="" idref="#_x0000_s1048" connectloc="0"/>
        </o:r>
        <o:r id="V:Rule17" type="connector" idref="#_x0000_s1042">
          <o:proxy start="" idref="#_x0000_s1034" connectloc="2"/>
          <o:proxy end="" idref="#_x0000_s1032" connectloc="0"/>
        </o:r>
        <o:r id="V:Rule18" type="connector" idref="#_x0000_s1040">
          <o:proxy start="" idref="#_x0000_s1037" connectloc="2"/>
          <o:proxy end="" idref="#_x0000_s1034" connectloc="0"/>
        </o:r>
        <o:r id="V:Rule19" type="connector" idref="#_x0000_s1065">
          <o:proxy start="" idref="#_x0000_s1050" connectloc="2"/>
          <o:proxy end="" idref="#_x0000_s1057" connectloc="0"/>
        </o:r>
        <o:r id="V:Rule20" type="connector" idref="#_x0000_s1044">
          <o:proxy start="" idref="#_x0000_s1033" connectloc="2"/>
          <o:proxy end="" idref="#_x0000_s1028" connectloc="0"/>
        </o:r>
        <o:r id="V:Rule21" type="connector" idref="#_x0000_s1062">
          <o:proxy start="" idref="#_x0000_s1054" connectloc="2"/>
          <o:proxy end="" idref="#_x0000_s1052" connectloc="0"/>
        </o:r>
        <o:r id="V:Rule22" type="connector" idref="#_x0000_s1060">
          <o:proxy start="" idref="#_x0000_s1057" connectloc="2"/>
          <o:proxy end="" idref="#_x0000_s1054" connectloc="0"/>
        </o:r>
        <o:r id="V:Rule23" type="connector" idref="#_x0000_s1059">
          <o:proxy start="" idref="#_x0000_s1057" connectloc="2"/>
          <o:proxy end="" idref="#_x0000_s1053" connectloc="0"/>
        </o:r>
        <o:r id="V:Rule24" type="connector" idref="#_x0000_s1045">
          <o:proxy start="" idref="#_x0000_s1030" connectloc="2"/>
          <o:proxy end="" idref="#_x0000_s1037" connectloc="0"/>
        </o:r>
        <o:r id="V:Rule25" type="connector" idref="#_x0000_s1063">
          <o:proxy start="" idref="#_x0000_s1053" connectloc="2"/>
          <o:proxy end="" idref="#_x0000_s1051" connectloc="0"/>
        </o:r>
        <o:r id="V:Rule26" type="connector" idref="#_x0000_s1043">
          <o:proxy start="" idref="#_x0000_s1033" connectloc="2"/>
          <o:proxy end="" idref="#_x0000_s1031" connectloc="0"/>
        </o:r>
        <o:r id="V:Rule27" type="connector" idref="#_x0000_s1039">
          <o:proxy start="" idref="#_x0000_s1037" connectloc="2"/>
          <o:proxy end="" idref="#_x0000_s1033" connectloc="0"/>
        </o:r>
        <o:r id="V:Rule28" type="connector" idref="#_x0000_s1061">
          <o:proxy start="" idref="#_x0000_s1054" connectloc="2"/>
          <o:proxy end="" idref="#_x0000_s1048"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F0"/>
    <w:pPr>
      <w:spacing w:after="0" w:line="360" w:lineRule="auto"/>
      <w:jc w:val="both"/>
    </w:pPr>
    <w:rPr>
      <w:rFonts w:ascii="Arial" w:hAnsi="Arial"/>
      <w:sz w:val="24"/>
    </w:rPr>
  </w:style>
  <w:style w:type="paragraph" w:styleId="Ttulo1">
    <w:name w:val="heading 1"/>
    <w:aliases w:val="Nivel 1"/>
    <w:basedOn w:val="Normal"/>
    <w:next w:val="Normal"/>
    <w:link w:val="Ttulo1Car"/>
    <w:autoRedefine/>
    <w:uiPriority w:val="9"/>
    <w:qFormat/>
    <w:rsid w:val="00CD3EDA"/>
    <w:pPr>
      <w:keepNext/>
      <w:keepLines/>
      <w:spacing w:before="120"/>
      <w:jc w:val="center"/>
      <w:outlineLvl w:val="0"/>
    </w:pPr>
    <w:rPr>
      <w:rFonts w:eastAsiaTheme="majorEastAsia" w:cstheme="majorBidi"/>
      <w:b/>
      <w:bCs/>
      <w:szCs w:val="28"/>
    </w:rPr>
  </w:style>
  <w:style w:type="paragraph" w:styleId="Ttulo2">
    <w:name w:val="heading 2"/>
    <w:aliases w:val="Nivel 2"/>
    <w:basedOn w:val="Normal"/>
    <w:next w:val="Normal"/>
    <w:link w:val="Ttulo2Car"/>
    <w:autoRedefine/>
    <w:uiPriority w:val="9"/>
    <w:unhideWhenUsed/>
    <w:qFormat/>
    <w:rsid w:val="003E1A0D"/>
    <w:pPr>
      <w:keepNext/>
      <w:keepLines/>
      <w:spacing w:before="120"/>
      <w:outlineLvl w:val="1"/>
    </w:pPr>
    <w:rPr>
      <w:rFonts w:eastAsiaTheme="majorEastAsia" w:cstheme="majorBidi"/>
      <w:b/>
      <w:bCs/>
      <w:szCs w:val="26"/>
    </w:rPr>
  </w:style>
  <w:style w:type="paragraph" w:styleId="Ttulo3">
    <w:name w:val="heading 3"/>
    <w:aliases w:val="Nivel 3"/>
    <w:basedOn w:val="Normal"/>
    <w:next w:val="Normal"/>
    <w:link w:val="Ttulo3Car"/>
    <w:autoRedefine/>
    <w:uiPriority w:val="9"/>
    <w:unhideWhenUsed/>
    <w:qFormat/>
    <w:rsid w:val="00E268C6"/>
    <w:pPr>
      <w:keepNext/>
      <w:keepLines/>
      <w:spacing w:before="200"/>
      <w:outlineLvl w:val="2"/>
    </w:pPr>
    <w:rPr>
      <w:rFonts w:eastAsia="Calibri"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CD3EDA"/>
    <w:rPr>
      <w:rFonts w:ascii="Arial" w:eastAsiaTheme="majorEastAsia" w:hAnsi="Arial" w:cstheme="majorBidi"/>
      <w:b/>
      <w:bCs/>
      <w:sz w:val="24"/>
      <w:szCs w:val="28"/>
    </w:rPr>
  </w:style>
  <w:style w:type="character" w:customStyle="1" w:styleId="Ttulo2Car">
    <w:name w:val="Título 2 Car"/>
    <w:aliases w:val="Nivel 2 Car"/>
    <w:basedOn w:val="Fuentedeprrafopredeter"/>
    <w:link w:val="Ttulo2"/>
    <w:uiPriority w:val="9"/>
    <w:rsid w:val="003E1A0D"/>
    <w:rPr>
      <w:rFonts w:ascii="Arial" w:eastAsiaTheme="majorEastAsia" w:hAnsi="Arial" w:cstheme="majorBidi"/>
      <w:b/>
      <w:bCs/>
      <w:sz w:val="24"/>
      <w:szCs w:val="26"/>
    </w:rPr>
  </w:style>
  <w:style w:type="character" w:customStyle="1" w:styleId="Ttulo3Car">
    <w:name w:val="Título 3 Car"/>
    <w:aliases w:val="Nivel 3 Car"/>
    <w:basedOn w:val="Fuentedeprrafopredeter"/>
    <w:link w:val="Ttulo3"/>
    <w:uiPriority w:val="9"/>
    <w:rsid w:val="00E268C6"/>
    <w:rPr>
      <w:rFonts w:ascii="Arial" w:eastAsia="Calibri" w:hAnsi="Arial" w:cs="Times New Roman"/>
      <w:b/>
      <w:bCs/>
      <w:sz w:val="24"/>
      <w:lang w:val="es-ES"/>
    </w:rPr>
  </w:style>
  <w:style w:type="paragraph" w:styleId="Ttulo">
    <w:name w:val="Title"/>
    <w:basedOn w:val="Normal"/>
    <w:next w:val="Normal"/>
    <w:link w:val="TtuloCar"/>
    <w:autoRedefine/>
    <w:uiPriority w:val="10"/>
    <w:qFormat/>
    <w:rsid w:val="00356E67"/>
    <w:pPr>
      <w:spacing w:after="100" w:afterAutospacing="1"/>
      <w:contextualSpacing/>
      <w:jc w:val="center"/>
    </w:pPr>
    <w:rPr>
      <w:rFonts w:eastAsiaTheme="majorEastAsia" w:cstheme="majorBidi"/>
      <w:spacing w:val="5"/>
      <w:kern w:val="28"/>
      <w:szCs w:val="52"/>
    </w:rPr>
  </w:style>
  <w:style w:type="character" w:customStyle="1" w:styleId="TtuloCar">
    <w:name w:val="Título Car"/>
    <w:basedOn w:val="Fuentedeprrafopredeter"/>
    <w:link w:val="Ttulo"/>
    <w:uiPriority w:val="10"/>
    <w:rsid w:val="00356E67"/>
    <w:rPr>
      <w:rFonts w:ascii="Bookman Old Style" w:eastAsiaTheme="majorEastAsia" w:hAnsi="Bookman Old Style" w:cstheme="majorBidi"/>
      <w:spacing w:val="5"/>
      <w:kern w:val="28"/>
      <w:szCs w:val="52"/>
      <w:lang w:val="es-ES"/>
    </w:rPr>
  </w:style>
  <w:style w:type="paragraph" w:styleId="Textodeglobo">
    <w:name w:val="Balloon Text"/>
    <w:basedOn w:val="Normal"/>
    <w:link w:val="TextodegloboCar"/>
    <w:uiPriority w:val="99"/>
    <w:semiHidden/>
    <w:unhideWhenUsed/>
    <w:rsid w:val="00356E6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E67"/>
    <w:rPr>
      <w:rFonts w:ascii="Tahoma" w:hAnsi="Tahoma" w:cs="Tahoma"/>
      <w:sz w:val="16"/>
      <w:szCs w:val="16"/>
      <w:lang w:val="es-ES"/>
    </w:rPr>
  </w:style>
  <w:style w:type="paragraph" w:styleId="Textonotapie">
    <w:name w:val="footnote text"/>
    <w:basedOn w:val="Normal"/>
    <w:link w:val="TextonotapieCar"/>
    <w:autoRedefine/>
    <w:semiHidden/>
    <w:unhideWhenUsed/>
    <w:rsid w:val="00356E67"/>
    <w:pPr>
      <w:spacing w:line="240" w:lineRule="auto"/>
    </w:pPr>
    <w:rPr>
      <w:sz w:val="18"/>
      <w:szCs w:val="20"/>
    </w:rPr>
  </w:style>
  <w:style w:type="character" w:customStyle="1" w:styleId="TextonotapieCar">
    <w:name w:val="Texto nota pie Car"/>
    <w:basedOn w:val="Fuentedeprrafopredeter"/>
    <w:link w:val="Textonotapie"/>
    <w:semiHidden/>
    <w:rsid w:val="00356E67"/>
    <w:rPr>
      <w:rFonts w:ascii="Bookman Old Style" w:hAnsi="Bookman Old Style"/>
      <w:sz w:val="18"/>
      <w:szCs w:val="20"/>
      <w:lang w:val="es-ES"/>
    </w:rPr>
  </w:style>
  <w:style w:type="character" w:styleId="Refdenotaalpie">
    <w:name w:val="footnote reference"/>
    <w:basedOn w:val="Fuentedeprrafopredeter"/>
    <w:uiPriority w:val="99"/>
    <w:semiHidden/>
    <w:unhideWhenUsed/>
    <w:rsid w:val="00356E67"/>
    <w:rPr>
      <w:vertAlign w:val="superscript"/>
    </w:rPr>
  </w:style>
  <w:style w:type="table" w:styleId="Tablaconcuadrcula">
    <w:name w:val="Table Grid"/>
    <w:basedOn w:val="Tablanormal"/>
    <w:uiPriority w:val="59"/>
    <w:rsid w:val="00356E67"/>
    <w:pPr>
      <w:spacing w:after="0" w:line="240" w:lineRule="auto"/>
      <w:jc w:val="both"/>
    </w:pPr>
    <w:rPr>
      <w:rFonts w:ascii="Bookman Old Style" w:hAnsi="Bookman Old Style"/>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56E67"/>
    <w:pPr>
      <w:ind w:left="720"/>
      <w:contextualSpacing/>
    </w:pPr>
  </w:style>
  <w:style w:type="paragraph" w:styleId="TDC1">
    <w:name w:val="toc 1"/>
    <w:basedOn w:val="Normal"/>
    <w:next w:val="Normal"/>
    <w:autoRedefine/>
    <w:uiPriority w:val="39"/>
    <w:unhideWhenUsed/>
    <w:rsid w:val="003E1A0D"/>
    <w:pPr>
      <w:tabs>
        <w:tab w:val="right" w:leader="dot" w:pos="8828"/>
      </w:tabs>
      <w:spacing w:after="100"/>
      <w:jc w:val="center"/>
    </w:pPr>
  </w:style>
  <w:style w:type="character" w:styleId="Hipervnculo">
    <w:name w:val="Hyperlink"/>
    <w:basedOn w:val="Fuentedeprrafopredeter"/>
    <w:uiPriority w:val="99"/>
    <w:unhideWhenUsed/>
    <w:rsid w:val="00356E67"/>
    <w:rPr>
      <w:color w:val="0000FF" w:themeColor="hyperlink"/>
      <w:u w:val="single"/>
    </w:rPr>
  </w:style>
  <w:style w:type="paragraph" w:styleId="Bibliografa">
    <w:name w:val="Bibliography"/>
    <w:basedOn w:val="Normal"/>
    <w:next w:val="Normal"/>
    <w:uiPriority w:val="37"/>
    <w:unhideWhenUsed/>
    <w:rsid w:val="00356E67"/>
  </w:style>
  <w:style w:type="paragraph" w:styleId="TtulodeTDC">
    <w:name w:val="TOC Heading"/>
    <w:basedOn w:val="Ttulo1"/>
    <w:next w:val="Normal"/>
    <w:uiPriority w:val="39"/>
    <w:unhideWhenUsed/>
    <w:qFormat/>
    <w:rsid w:val="00356E67"/>
    <w:pPr>
      <w:spacing w:before="480" w:line="276" w:lineRule="auto"/>
      <w:jc w:val="left"/>
      <w:outlineLvl w:val="9"/>
    </w:pPr>
    <w:rPr>
      <w:rFonts w:asciiTheme="majorHAnsi" w:hAnsiTheme="majorHAnsi"/>
      <w:color w:val="365F91" w:themeColor="accent1" w:themeShade="BF"/>
      <w:sz w:val="28"/>
      <w:lang w:val="es-ES"/>
    </w:rPr>
  </w:style>
  <w:style w:type="paragraph" w:styleId="TDC2">
    <w:name w:val="toc 2"/>
    <w:basedOn w:val="Normal"/>
    <w:next w:val="Normal"/>
    <w:autoRedefine/>
    <w:uiPriority w:val="39"/>
    <w:unhideWhenUsed/>
    <w:rsid w:val="004B2627"/>
    <w:pPr>
      <w:tabs>
        <w:tab w:val="right" w:leader="dot" w:pos="8828"/>
      </w:tabs>
      <w:spacing w:after="100"/>
      <w:ind w:left="227"/>
      <w:jc w:val="left"/>
    </w:pPr>
  </w:style>
  <w:style w:type="paragraph" w:styleId="TDC3">
    <w:name w:val="toc 3"/>
    <w:basedOn w:val="Normal"/>
    <w:next w:val="Normal"/>
    <w:autoRedefine/>
    <w:uiPriority w:val="39"/>
    <w:unhideWhenUsed/>
    <w:rsid w:val="004B2627"/>
    <w:pPr>
      <w:tabs>
        <w:tab w:val="right" w:leader="dot" w:pos="8828"/>
      </w:tabs>
      <w:spacing w:after="100"/>
      <w:ind w:left="440"/>
    </w:pPr>
    <w:rPr>
      <w:noProof/>
    </w:rPr>
  </w:style>
  <w:style w:type="paragraph" w:styleId="Encabezado">
    <w:name w:val="header"/>
    <w:basedOn w:val="Normal"/>
    <w:link w:val="EncabezadoCar"/>
    <w:uiPriority w:val="99"/>
    <w:unhideWhenUsed/>
    <w:rsid w:val="00356E6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56E67"/>
    <w:rPr>
      <w:rFonts w:ascii="Bookman Old Style" w:hAnsi="Bookman Old Style"/>
      <w:lang w:val="es-ES"/>
    </w:rPr>
  </w:style>
  <w:style w:type="paragraph" w:styleId="Piedepgina">
    <w:name w:val="footer"/>
    <w:basedOn w:val="Normal"/>
    <w:link w:val="PiedepginaCar"/>
    <w:uiPriority w:val="99"/>
    <w:unhideWhenUsed/>
    <w:rsid w:val="00356E6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56E67"/>
    <w:rPr>
      <w:rFonts w:ascii="Bookman Old Style" w:hAnsi="Bookman Old Style"/>
      <w:lang w:val="es-ES"/>
    </w:rPr>
  </w:style>
  <w:style w:type="paragraph" w:styleId="Listaconvietas">
    <w:name w:val="List Bullet"/>
    <w:basedOn w:val="Normal"/>
    <w:uiPriority w:val="99"/>
    <w:unhideWhenUsed/>
    <w:rsid w:val="00356E67"/>
    <w:pPr>
      <w:numPr>
        <w:numId w:val="14"/>
      </w:numPr>
      <w:contextualSpacing/>
    </w:pPr>
  </w:style>
  <w:style w:type="character" w:styleId="Refdecomentario">
    <w:name w:val="annotation reference"/>
    <w:basedOn w:val="Fuentedeprrafopredeter"/>
    <w:uiPriority w:val="99"/>
    <w:semiHidden/>
    <w:unhideWhenUsed/>
    <w:rsid w:val="00356E67"/>
    <w:rPr>
      <w:sz w:val="16"/>
      <w:szCs w:val="16"/>
    </w:rPr>
  </w:style>
  <w:style w:type="paragraph" w:styleId="Textocomentario">
    <w:name w:val="annotation text"/>
    <w:basedOn w:val="Normal"/>
    <w:link w:val="TextocomentarioCar"/>
    <w:uiPriority w:val="99"/>
    <w:semiHidden/>
    <w:unhideWhenUsed/>
    <w:rsid w:val="00356E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6E67"/>
    <w:rPr>
      <w:rFonts w:ascii="Bookman Old Style" w:hAnsi="Bookman Old Style"/>
      <w:sz w:val="20"/>
      <w:szCs w:val="20"/>
      <w:lang w:val="es-ES"/>
    </w:rPr>
  </w:style>
  <w:style w:type="paragraph" w:styleId="Asuntodelcomentario">
    <w:name w:val="annotation subject"/>
    <w:basedOn w:val="Textocomentario"/>
    <w:next w:val="Textocomentario"/>
    <w:link w:val="AsuntodelcomentarioCar"/>
    <w:uiPriority w:val="99"/>
    <w:semiHidden/>
    <w:unhideWhenUsed/>
    <w:rsid w:val="00356E67"/>
    <w:rPr>
      <w:b/>
      <w:bCs/>
    </w:rPr>
  </w:style>
  <w:style w:type="character" w:customStyle="1" w:styleId="AsuntodelcomentarioCar">
    <w:name w:val="Asunto del comentario Car"/>
    <w:basedOn w:val="TextocomentarioCar"/>
    <w:link w:val="Asuntodelcomentario"/>
    <w:uiPriority w:val="99"/>
    <w:semiHidden/>
    <w:rsid w:val="00356E67"/>
    <w:rPr>
      <w:rFonts w:ascii="Bookman Old Style" w:hAnsi="Bookman Old Style"/>
      <w:b/>
      <w:bCs/>
      <w:sz w:val="20"/>
      <w:szCs w:val="20"/>
      <w:lang w:val="es-ES"/>
    </w:rPr>
  </w:style>
  <w:style w:type="paragraph" w:styleId="Sinespaciado">
    <w:name w:val="No Spacing"/>
    <w:link w:val="SinespaciadoCar"/>
    <w:uiPriority w:val="1"/>
    <w:qFormat/>
    <w:rsid w:val="00356E67"/>
    <w:pPr>
      <w:spacing w:after="0" w:line="240" w:lineRule="auto"/>
      <w:jc w:val="both"/>
    </w:pPr>
    <w:rPr>
      <w:rFonts w:ascii="Bookman Old Style" w:hAnsi="Bookman Old Style"/>
      <w:lang w:val="es-ES"/>
    </w:rPr>
  </w:style>
  <w:style w:type="character" w:styleId="CitaHTML">
    <w:name w:val="HTML Cite"/>
    <w:basedOn w:val="Fuentedeprrafopredeter"/>
    <w:uiPriority w:val="99"/>
    <w:semiHidden/>
    <w:unhideWhenUsed/>
    <w:rsid w:val="00356E67"/>
    <w:rPr>
      <w:i w:val="0"/>
      <w:iCs w:val="0"/>
      <w:color w:val="0E774A"/>
    </w:rPr>
  </w:style>
  <w:style w:type="character" w:styleId="nfasissutil">
    <w:name w:val="Subtle Emphasis"/>
    <w:basedOn w:val="Fuentedeprrafopredeter"/>
    <w:uiPriority w:val="19"/>
    <w:qFormat/>
    <w:rsid w:val="00356E67"/>
    <w:rPr>
      <w:rFonts w:ascii="Bookman Old Style" w:hAnsi="Bookman Old Style"/>
      <w:b/>
      <w:i/>
      <w:iCs/>
      <w:color w:val="808080" w:themeColor="background1" w:themeShade="80"/>
      <w:sz w:val="22"/>
    </w:rPr>
  </w:style>
  <w:style w:type="character" w:styleId="nfasisintenso">
    <w:name w:val="Intense Emphasis"/>
    <w:basedOn w:val="Fuentedeprrafopredeter"/>
    <w:uiPriority w:val="21"/>
    <w:qFormat/>
    <w:rsid w:val="00356E67"/>
    <w:rPr>
      <w:b/>
      <w:bCs/>
      <w:i/>
      <w:iCs/>
      <w:color w:val="4F81BD" w:themeColor="accent1"/>
    </w:rPr>
  </w:style>
  <w:style w:type="paragraph" w:customStyle="1" w:styleId="Default">
    <w:name w:val="Default"/>
    <w:rsid w:val="00356E67"/>
    <w:pPr>
      <w:autoSpaceDE w:val="0"/>
      <w:autoSpaceDN w:val="0"/>
      <w:adjustRightInd w:val="0"/>
      <w:spacing w:after="0" w:line="240" w:lineRule="auto"/>
    </w:pPr>
    <w:rPr>
      <w:rFonts w:ascii="Century Gothic" w:hAnsi="Century Gothic" w:cs="Century Gothic"/>
      <w:color w:val="000000"/>
      <w:sz w:val="24"/>
      <w:szCs w:val="24"/>
      <w:lang w:val="es-ES"/>
    </w:rPr>
  </w:style>
  <w:style w:type="paragraph" w:styleId="Subttulo">
    <w:name w:val="Subtitle"/>
    <w:basedOn w:val="Normal"/>
    <w:next w:val="Normal"/>
    <w:link w:val="SubttuloCar"/>
    <w:uiPriority w:val="11"/>
    <w:qFormat/>
    <w:rsid w:val="00356E67"/>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356E67"/>
    <w:rPr>
      <w:rFonts w:asciiTheme="majorHAnsi" w:eastAsiaTheme="majorEastAsia" w:hAnsiTheme="majorHAnsi" w:cstheme="majorBidi"/>
      <w:i/>
      <w:iCs/>
      <w:color w:val="4F81BD" w:themeColor="accent1"/>
      <w:spacing w:val="15"/>
      <w:sz w:val="24"/>
      <w:szCs w:val="24"/>
      <w:lang w:val="es-ES"/>
    </w:rPr>
  </w:style>
  <w:style w:type="paragraph" w:styleId="NormalWeb">
    <w:name w:val="Normal (Web)"/>
    <w:basedOn w:val="Normal"/>
    <w:uiPriority w:val="99"/>
    <w:unhideWhenUsed/>
    <w:rsid w:val="00356E67"/>
    <w:pPr>
      <w:spacing w:before="100" w:beforeAutospacing="1" w:after="100" w:afterAutospacing="1" w:line="240" w:lineRule="auto"/>
      <w:jc w:val="left"/>
    </w:pPr>
    <w:rPr>
      <w:rFonts w:ascii="Verdana" w:eastAsia="Times New Roman" w:hAnsi="Verdana" w:cs="Times New Roman"/>
      <w:color w:val="000000"/>
      <w:sz w:val="20"/>
      <w:szCs w:val="20"/>
      <w:lang w:eastAsia="es-ES"/>
    </w:rPr>
  </w:style>
  <w:style w:type="character" w:customStyle="1" w:styleId="SinespaciadoCar">
    <w:name w:val="Sin espaciado Car"/>
    <w:basedOn w:val="Fuentedeprrafopredeter"/>
    <w:link w:val="Sinespaciado"/>
    <w:uiPriority w:val="1"/>
    <w:rsid w:val="00A60139"/>
    <w:rPr>
      <w:rFonts w:ascii="Bookman Old Style" w:hAnsi="Bookman Old Style"/>
      <w:lang w:val="es-ES"/>
    </w:rPr>
  </w:style>
  <w:style w:type="paragraph" w:styleId="DireccinHTML">
    <w:name w:val="HTML Address"/>
    <w:basedOn w:val="Normal"/>
    <w:link w:val="DireccinHTMLCar"/>
    <w:uiPriority w:val="99"/>
    <w:semiHidden/>
    <w:unhideWhenUsed/>
    <w:rsid w:val="003A6775"/>
    <w:pPr>
      <w:spacing w:line="240" w:lineRule="auto"/>
    </w:pPr>
    <w:rPr>
      <w:i/>
      <w:iCs/>
    </w:rPr>
  </w:style>
  <w:style w:type="character" w:customStyle="1" w:styleId="DireccinHTMLCar">
    <w:name w:val="Dirección HTML Car"/>
    <w:basedOn w:val="Fuentedeprrafopredeter"/>
    <w:link w:val="DireccinHTML"/>
    <w:uiPriority w:val="99"/>
    <w:semiHidden/>
    <w:rsid w:val="003A6775"/>
    <w:rPr>
      <w:rFonts w:ascii="Arial" w:hAnsi="Arial"/>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openxmlformats.org/officeDocument/2006/relationships/fontTable" Target="fontTable.xml"/><Relationship Id="rId8" Type="http://schemas.openxmlformats.org/officeDocument/2006/relationships/endnotes" Target="endnotes.xml"/></Relationships>
</file>

<file path=word/diagrams/_rels/data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diagrams/_rels/drawing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536C16-9A36-4222-A67B-441B2EF79AE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D50A2EF3-1CC8-4DB4-93D2-DA0D5A6CF890}">
      <dgm:prSet phldrT="[Texto]">
        <dgm:style>
          <a:lnRef idx="0">
            <a:schemeClr val="accent5"/>
          </a:lnRef>
          <a:fillRef idx="3">
            <a:schemeClr val="accent5"/>
          </a:fillRef>
          <a:effectRef idx="3">
            <a:schemeClr val="accent5"/>
          </a:effectRef>
          <a:fontRef idx="minor">
            <a:schemeClr val="lt1"/>
          </a:fontRef>
        </dgm:style>
      </dgm:prSet>
      <dgm:spPr/>
      <dgm:t>
        <a:bodyPr/>
        <a:lstStyle/>
        <a:p>
          <a:r>
            <a:rPr lang="es-ES">
              <a:solidFill>
                <a:sysClr val="windowText" lastClr="000000"/>
              </a:solidFill>
            </a:rPr>
            <a:t>PFPN</a:t>
          </a:r>
        </a:p>
      </dgm:t>
    </dgm:pt>
    <dgm:pt modelId="{790070C2-8B23-4911-948A-88387E77D2DE}" type="parTrans" cxnId="{35E735E2-EEE3-4AA9-9095-3C9AAB9C2C4E}">
      <dgm:prSet/>
      <dgm:spPr/>
      <dgm:t>
        <a:bodyPr/>
        <a:lstStyle/>
        <a:p>
          <a:endParaRPr lang="es-ES">
            <a:solidFill>
              <a:sysClr val="windowText" lastClr="000000"/>
            </a:solidFill>
          </a:endParaRPr>
        </a:p>
      </dgm:t>
    </dgm:pt>
    <dgm:pt modelId="{3B6E94C1-BDA8-4E7B-843D-CF762F7F7952}" type="sibTrans" cxnId="{35E735E2-EEE3-4AA9-9095-3C9AAB9C2C4E}">
      <dgm:prSet/>
      <dgm:spPr/>
      <dgm:t>
        <a:bodyPr/>
        <a:lstStyle/>
        <a:p>
          <a:endParaRPr lang="es-ES">
            <a:solidFill>
              <a:sysClr val="windowText" lastClr="000000"/>
            </a:solidFill>
          </a:endParaRPr>
        </a:p>
      </dgm:t>
    </dgm:pt>
    <dgm:pt modelId="{BC973BA9-2D6A-465D-8027-449A38EFA3E8}">
      <dgm:prSet phldrT="[Texto]">
        <dgm:style>
          <a:lnRef idx="0">
            <a:schemeClr val="accent5"/>
          </a:lnRef>
          <a:fillRef idx="3">
            <a:schemeClr val="accent5"/>
          </a:fillRef>
          <a:effectRef idx="3">
            <a:schemeClr val="accent5"/>
          </a:effectRef>
          <a:fontRef idx="minor">
            <a:schemeClr val="lt1"/>
          </a:fontRef>
        </dgm:style>
      </dgm:prSet>
      <dgm:spPr/>
      <dgm:t>
        <a:bodyPr/>
        <a:lstStyle/>
        <a:p>
          <a:r>
            <a:rPr lang="es-ES">
              <a:solidFill>
                <a:sysClr val="windowText" lastClr="000000"/>
              </a:solidFill>
            </a:rPr>
            <a:t>PNP</a:t>
          </a:r>
        </a:p>
      </dgm:t>
    </dgm:pt>
    <dgm:pt modelId="{B64B8D22-24F6-4F48-9600-82C8D8AC1896}" type="parTrans" cxnId="{C56B0ABE-B5EC-48C9-B597-36803DAEC6FF}">
      <dgm:prSet/>
      <dgm:spPr/>
      <dgm:t>
        <a:bodyPr/>
        <a:lstStyle/>
        <a:p>
          <a:endParaRPr lang="es-ES">
            <a:solidFill>
              <a:sysClr val="windowText" lastClr="000000"/>
            </a:solidFill>
          </a:endParaRPr>
        </a:p>
      </dgm:t>
    </dgm:pt>
    <dgm:pt modelId="{C5313265-E601-43C5-9708-949A6168B1C7}" type="sibTrans" cxnId="{C56B0ABE-B5EC-48C9-B597-36803DAEC6FF}">
      <dgm:prSet/>
      <dgm:spPr/>
      <dgm:t>
        <a:bodyPr/>
        <a:lstStyle/>
        <a:p>
          <a:endParaRPr lang="es-ES">
            <a:solidFill>
              <a:sysClr val="windowText" lastClr="000000"/>
            </a:solidFill>
          </a:endParaRPr>
        </a:p>
      </dgm:t>
    </dgm:pt>
    <dgm:pt modelId="{FEEF5672-C94D-49B4-8124-19A531D3DED9}">
      <dgm:prSet phldrT="[Texto]">
        <dgm:style>
          <a:lnRef idx="0">
            <a:schemeClr val="accent5"/>
          </a:lnRef>
          <a:fillRef idx="3">
            <a:schemeClr val="accent5"/>
          </a:fillRef>
          <a:effectRef idx="3">
            <a:schemeClr val="accent5"/>
          </a:effectRef>
          <a:fontRef idx="minor">
            <a:schemeClr val="lt1"/>
          </a:fontRef>
        </dgm:style>
      </dgm:prSet>
      <dgm:spPr/>
      <dgm:t>
        <a:bodyPr/>
        <a:lstStyle/>
        <a:p>
          <a:r>
            <a:rPr lang="es-ES">
              <a:solidFill>
                <a:sysClr val="windowText" lastClr="000000"/>
              </a:solidFill>
            </a:rPr>
            <a:t>PIFOP</a:t>
          </a:r>
        </a:p>
      </dgm:t>
    </dgm:pt>
    <dgm:pt modelId="{2FE5ACD6-E116-425B-943C-7E5C05ABBF94}" type="parTrans" cxnId="{3E55977B-2D0E-46A6-A18B-CC5EF7D5C721}">
      <dgm:prSet/>
      <dgm:spPr/>
      <dgm:t>
        <a:bodyPr/>
        <a:lstStyle/>
        <a:p>
          <a:endParaRPr lang="es-ES">
            <a:solidFill>
              <a:sysClr val="windowText" lastClr="000000"/>
            </a:solidFill>
          </a:endParaRPr>
        </a:p>
      </dgm:t>
    </dgm:pt>
    <dgm:pt modelId="{D8893EAD-BF8F-4816-B476-172B87EE7B3D}" type="sibTrans" cxnId="{3E55977B-2D0E-46A6-A18B-CC5EF7D5C721}">
      <dgm:prSet/>
      <dgm:spPr/>
      <dgm:t>
        <a:bodyPr/>
        <a:lstStyle/>
        <a:p>
          <a:endParaRPr lang="es-ES">
            <a:solidFill>
              <a:sysClr val="windowText" lastClr="000000"/>
            </a:solidFill>
          </a:endParaRPr>
        </a:p>
      </dgm:t>
    </dgm:pt>
    <dgm:pt modelId="{E091BC18-74F0-42CB-8350-D06CCC4324C7}">
      <dgm:prSet>
        <dgm:style>
          <a:lnRef idx="0">
            <a:schemeClr val="accent5"/>
          </a:lnRef>
          <a:fillRef idx="3">
            <a:schemeClr val="accent5"/>
          </a:fillRef>
          <a:effectRef idx="3">
            <a:schemeClr val="accent5"/>
          </a:effectRef>
          <a:fontRef idx="minor">
            <a:schemeClr val="lt1"/>
          </a:fontRef>
        </dgm:style>
      </dgm:prSet>
      <dgm:spPr/>
      <dgm:t>
        <a:bodyPr/>
        <a:lstStyle/>
        <a:p>
          <a:r>
            <a:rPr lang="es-ES">
              <a:solidFill>
                <a:sysClr val="windowText" lastClr="000000"/>
              </a:solidFill>
            </a:rPr>
            <a:t>NIVEL INTERNACIONAL</a:t>
          </a:r>
        </a:p>
      </dgm:t>
    </dgm:pt>
    <dgm:pt modelId="{548D7D30-2A0E-4ABB-9BA8-9E2537E14FA9}" type="parTrans" cxnId="{43E79B29-6AD5-4BC6-8640-4391ACF3DF58}">
      <dgm:prSet/>
      <dgm:spPr/>
      <dgm:t>
        <a:bodyPr/>
        <a:lstStyle/>
        <a:p>
          <a:endParaRPr lang="es-ES">
            <a:solidFill>
              <a:sysClr val="windowText" lastClr="000000"/>
            </a:solidFill>
          </a:endParaRPr>
        </a:p>
      </dgm:t>
    </dgm:pt>
    <dgm:pt modelId="{E51A5055-1F2F-43A4-9029-C2BB583E9E98}" type="sibTrans" cxnId="{43E79B29-6AD5-4BC6-8640-4391ACF3DF58}">
      <dgm:prSet/>
      <dgm:spPr/>
      <dgm:t>
        <a:bodyPr/>
        <a:lstStyle/>
        <a:p>
          <a:endParaRPr lang="es-ES">
            <a:solidFill>
              <a:sysClr val="windowText" lastClr="000000"/>
            </a:solidFill>
          </a:endParaRPr>
        </a:p>
      </dgm:t>
    </dgm:pt>
    <dgm:pt modelId="{6760FD49-6534-40C1-8BE2-3EA6C1F2D61B}">
      <dgm:prSet>
        <dgm:style>
          <a:lnRef idx="0">
            <a:schemeClr val="accent5"/>
          </a:lnRef>
          <a:fillRef idx="3">
            <a:schemeClr val="accent5"/>
          </a:fillRef>
          <a:effectRef idx="3">
            <a:schemeClr val="accent5"/>
          </a:effectRef>
          <a:fontRef idx="minor">
            <a:schemeClr val="lt1"/>
          </a:fontRef>
        </dgm:style>
      </dgm:prSet>
      <dgm:spPr/>
      <dgm:t>
        <a:bodyPr/>
        <a:lstStyle/>
        <a:p>
          <a:r>
            <a:rPr lang="es-ES">
              <a:solidFill>
                <a:sysClr val="windowText" lastClr="000000"/>
              </a:solidFill>
            </a:rPr>
            <a:t>ALTO NIVEL</a:t>
          </a:r>
        </a:p>
      </dgm:t>
    </dgm:pt>
    <dgm:pt modelId="{4C76FF7D-5C4A-428F-8976-99A7CB192302}" type="parTrans" cxnId="{CF051AA5-4F70-4CA5-93B7-6D8BDF547660}">
      <dgm:prSet/>
      <dgm:spPr/>
      <dgm:t>
        <a:bodyPr/>
        <a:lstStyle/>
        <a:p>
          <a:endParaRPr lang="es-ES">
            <a:solidFill>
              <a:sysClr val="windowText" lastClr="000000"/>
            </a:solidFill>
          </a:endParaRPr>
        </a:p>
      </dgm:t>
    </dgm:pt>
    <dgm:pt modelId="{67BBEFCE-AF2E-4B57-9FE5-B7E21BFB487B}" type="sibTrans" cxnId="{CF051AA5-4F70-4CA5-93B7-6D8BDF547660}">
      <dgm:prSet/>
      <dgm:spPr/>
      <dgm:t>
        <a:bodyPr/>
        <a:lstStyle/>
        <a:p>
          <a:endParaRPr lang="es-ES">
            <a:solidFill>
              <a:sysClr val="windowText" lastClr="000000"/>
            </a:solidFill>
          </a:endParaRPr>
        </a:p>
      </dgm:t>
    </dgm:pt>
    <dgm:pt modelId="{ED507A79-B504-428C-9643-2916F0629B92}" type="pres">
      <dgm:prSet presAssocID="{8D536C16-9A36-4222-A67B-441B2EF79AE7}" presName="hierChild1" presStyleCnt="0">
        <dgm:presLayoutVars>
          <dgm:chPref val="1"/>
          <dgm:dir/>
          <dgm:animOne val="branch"/>
          <dgm:animLvl val="lvl"/>
          <dgm:resizeHandles/>
        </dgm:presLayoutVars>
      </dgm:prSet>
      <dgm:spPr/>
      <dgm:t>
        <a:bodyPr/>
        <a:lstStyle/>
        <a:p>
          <a:endParaRPr lang="es-ES"/>
        </a:p>
      </dgm:t>
    </dgm:pt>
    <dgm:pt modelId="{ECB75368-C467-4169-B99B-339864889110}" type="pres">
      <dgm:prSet presAssocID="{D50A2EF3-1CC8-4DB4-93D2-DA0D5A6CF890}" presName="hierRoot1" presStyleCnt="0"/>
      <dgm:spPr/>
    </dgm:pt>
    <dgm:pt modelId="{217FA83F-A2A5-45D7-9DCA-D54C0988AC25}" type="pres">
      <dgm:prSet presAssocID="{D50A2EF3-1CC8-4DB4-93D2-DA0D5A6CF890}" presName="composite" presStyleCnt="0"/>
      <dgm:spPr/>
    </dgm:pt>
    <dgm:pt modelId="{50668A25-8223-4AA6-A3D2-2602F32EE32F}" type="pres">
      <dgm:prSet presAssocID="{D50A2EF3-1CC8-4DB4-93D2-DA0D5A6CF890}" presName="background" presStyleLbl="node0" presStyleIdx="0" presStyleCnt="1"/>
      <dgm:spPr>
        <a:prstGeom prst="wave">
          <a:avLst/>
        </a:prstGeom>
      </dgm:spPr>
      <dgm:t>
        <a:bodyPr/>
        <a:lstStyle/>
        <a:p>
          <a:endParaRPr lang="es-ES"/>
        </a:p>
      </dgm:t>
    </dgm:pt>
    <dgm:pt modelId="{37A55FD4-F93B-48B0-979A-70A2CF84AE6E}" type="pres">
      <dgm:prSet presAssocID="{D50A2EF3-1CC8-4DB4-93D2-DA0D5A6CF890}" presName="text" presStyleLbl="fgAcc0" presStyleIdx="0" presStyleCnt="1" custScaleX="90910" custLinFactNeighborX="-41522" custLinFactNeighborY="-43">
        <dgm:presLayoutVars>
          <dgm:chPref val="3"/>
        </dgm:presLayoutVars>
      </dgm:prSet>
      <dgm:spPr>
        <a:prstGeom prst="wave">
          <a:avLst/>
        </a:prstGeom>
      </dgm:spPr>
      <dgm:t>
        <a:bodyPr/>
        <a:lstStyle/>
        <a:p>
          <a:endParaRPr lang="es-ES"/>
        </a:p>
      </dgm:t>
    </dgm:pt>
    <dgm:pt modelId="{F34C623D-2AE1-49BF-AA4F-37DA4B915770}" type="pres">
      <dgm:prSet presAssocID="{D50A2EF3-1CC8-4DB4-93D2-DA0D5A6CF890}" presName="hierChild2" presStyleCnt="0"/>
      <dgm:spPr/>
    </dgm:pt>
    <dgm:pt modelId="{961CF9D9-D443-4C08-A09E-42D2E1D2BE6C}" type="pres">
      <dgm:prSet presAssocID="{B64B8D22-24F6-4F48-9600-82C8D8AC1896}" presName="Name10" presStyleLbl="parChTrans1D2" presStyleIdx="0" presStyleCnt="2"/>
      <dgm:spPr/>
      <dgm:t>
        <a:bodyPr/>
        <a:lstStyle/>
        <a:p>
          <a:endParaRPr lang="es-ES"/>
        </a:p>
      </dgm:t>
    </dgm:pt>
    <dgm:pt modelId="{2DD935FD-14E0-4F4D-925F-E8242C2967F1}" type="pres">
      <dgm:prSet presAssocID="{BC973BA9-2D6A-465D-8027-449A38EFA3E8}" presName="hierRoot2" presStyleCnt="0"/>
      <dgm:spPr/>
    </dgm:pt>
    <dgm:pt modelId="{F53B5B74-07EE-4A90-BF38-78324D66EBE5}" type="pres">
      <dgm:prSet presAssocID="{BC973BA9-2D6A-465D-8027-449A38EFA3E8}" presName="composite2" presStyleCnt="0"/>
      <dgm:spPr/>
    </dgm:pt>
    <dgm:pt modelId="{F3EB4314-A224-49B2-9DD2-AE79A1FD0269}" type="pres">
      <dgm:prSet presAssocID="{BC973BA9-2D6A-465D-8027-449A38EFA3E8}" presName="background2" presStyleLbl="node2" presStyleIdx="0" presStyleCnt="2"/>
      <dgm:spPr>
        <a:prstGeom prst="star32">
          <a:avLst/>
        </a:prstGeom>
      </dgm:spPr>
      <dgm:t>
        <a:bodyPr/>
        <a:lstStyle/>
        <a:p>
          <a:endParaRPr lang="es-ES"/>
        </a:p>
      </dgm:t>
    </dgm:pt>
    <dgm:pt modelId="{A2C1C95E-CC97-4F97-B8EB-230D62F30226}" type="pres">
      <dgm:prSet presAssocID="{BC973BA9-2D6A-465D-8027-449A38EFA3E8}" presName="text2" presStyleLbl="fgAcc2" presStyleIdx="0" presStyleCnt="2" custScaleX="186548" custScaleY="105302" custLinFactNeighborX="-1577" custLinFactNeighborY="-2484">
        <dgm:presLayoutVars>
          <dgm:chPref val="3"/>
        </dgm:presLayoutVars>
      </dgm:prSet>
      <dgm:spPr>
        <a:prstGeom prst="star32">
          <a:avLst/>
        </a:prstGeom>
      </dgm:spPr>
      <dgm:t>
        <a:bodyPr/>
        <a:lstStyle/>
        <a:p>
          <a:endParaRPr lang="es-ES"/>
        </a:p>
      </dgm:t>
    </dgm:pt>
    <dgm:pt modelId="{4A2A7C57-95C0-425B-AF69-974F6F8C5050}" type="pres">
      <dgm:prSet presAssocID="{BC973BA9-2D6A-465D-8027-449A38EFA3E8}" presName="hierChild3" presStyleCnt="0"/>
      <dgm:spPr/>
    </dgm:pt>
    <dgm:pt modelId="{446156A5-DB3C-406E-82E1-0B876E41CD03}" type="pres">
      <dgm:prSet presAssocID="{548D7D30-2A0E-4ABB-9BA8-9E2537E14FA9}" presName="Name17" presStyleLbl="parChTrans1D3" presStyleIdx="0" presStyleCnt="2"/>
      <dgm:spPr/>
      <dgm:t>
        <a:bodyPr/>
        <a:lstStyle/>
        <a:p>
          <a:endParaRPr lang="es-ES"/>
        </a:p>
      </dgm:t>
    </dgm:pt>
    <dgm:pt modelId="{36FA5EB1-62DD-47E3-A16C-C5EB5B014974}" type="pres">
      <dgm:prSet presAssocID="{E091BC18-74F0-42CB-8350-D06CCC4324C7}" presName="hierRoot3" presStyleCnt="0"/>
      <dgm:spPr/>
    </dgm:pt>
    <dgm:pt modelId="{C43A8CE5-54D9-4EB5-8065-476F9626FEB0}" type="pres">
      <dgm:prSet presAssocID="{E091BC18-74F0-42CB-8350-D06CCC4324C7}" presName="composite3" presStyleCnt="0"/>
      <dgm:spPr/>
    </dgm:pt>
    <dgm:pt modelId="{380E2EAD-DF0D-4C0B-A878-84C292EE21FC}" type="pres">
      <dgm:prSet presAssocID="{E091BC18-74F0-42CB-8350-D06CCC4324C7}" presName="background3" presStyleLbl="node3" presStyleIdx="0" presStyleCnt="2"/>
      <dgm:spPr>
        <a:prstGeom prst="star10">
          <a:avLst/>
        </a:prstGeom>
      </dgm:spPr>
      <dgm:t>
        <a:bodyPr/>
        <a:lstStyle/>
        <a:p>
          <a:endParaRPr lang="es-ES"/>
        </a:p>
      </dgm:t>
    </dgm:pt>
    <dgm:pt modelId="{135B0B59-52E4-45B7-8C8B-E3247E215FF1}" type="pres">
      <dgm:prSet presAssocID="{E091BC18-74F0-42CB-8350-D06CCC4324C7}" presName="text3" presStyleLbl="fgAcc3" presStyleIdx="0" presStyleCnt="2" custLinFactNeighborX="-2488">
        <dgm:presLayoutVars>
          <dgm:chPref val="3"/>
        </dgm:presLayoutVars>
      </dgm:prSet>
      <dgm:spPr>
        <a:prstGeom prst="star10">
          <a:avLst/>
        </a:prstGeom>
      </dgm:spPr>
      <dgm:t>
        <a:bodyPr/>
        <a:lstStyle/>
        <a:p>
          <a:endParaRPr lang="es-ES"/>
        </a:p>
      </dgm:t>
    </dgm:pt>
    <dgm:pt modelId="{31F47200-6EB5-4498-9698-2AF5F01DA67D}" type="pres">
      <dgm:prSet presAssocID="{E091BC18-74F0-42CB-8350-D06CCC4324C7}" presName="hierChild4" presStyleCnt="0"/>
      <dgm:spPr/>
    </dgm:pt>
    <dgm:pt modelId="{34DA3FE4-E416-4154-AEA0-11CF09214110}" type="pres">
      <dgm:prSet presAssocID="{4C76FF7D-5C4A-428F-8976-99A7CB192302}" presName="Name17" presStyleLbl="parChTrans1D3" presStyleIdx="1" presStyleCnt="2"/>
      <dgm:spPr/>
      <dgm:t>
        <a:bodyPr/>
        <a:lstStyle/>
        <a:p>
          <a:endParaRPr lang="es-ES"/>
        </a:p>
      </dgm:t>
    </dgm:pt>
    <dgm:pt modelId="{48193D19-DBB5-4D98-8651-3C0884802510}" type="pres">
      <dgm:prSet presAssocID="{6760FD49-6534-40C1-8BE2-3EA6C1F2D61B}" presName="hierRoot3" presStyleCnt="0"/>
      <dgm:spPr/>
    </dgm:pt>
    <dgm:pt modelId="{5AE7363A-2086-49B6-8708-19D2A58560F3}" type="pres">
      <dgm:prSet presAssocID="{6760FD49-6534-40C1-8BE2-3EA6C1F2D61B}" presName="composite3" presStyleCnt="0"/>
      <dgm:spPr/>
    </dgm:pt>
    <dgm:pt modelId="{CA3DA2A2-2DA2-417B-9CBB-8C22C4A75AAB}" type="pres">
      <dgm:prSet presAssocID="{6760FD49-6534-40C1-8BE2-3EA6C1F2D61B}" presName="background3" presStyleLbl="node3" presStyleIdx="1" presStyleCnt="2"/>
      <dgm:spPr>
        <a:prstGeom prst="star10">
          <a:avLst/>
        </a:prstGeom>
      </dgm:spPr>
      <dgm:t>
        <a:bodyPr/>
        <a:lstStyle/>
        <a:p>
          <a:endParaRPr lang="es-ES"/>
        </a:p>
      </dgm:t>
    </dgm:pt>
    <dgm:pt modelId="{68EAA40E-6828-498F-91D6-9FB9CEBEA7D7}" type="pres">
      <dgm:prSet presAssocID="{6760FD49-6534-40C1-8BE2-3EA6C1F2D61B}" presName="text3" presStyleLbl="fgAcc3" presStyleIdx="1" presStyleCnt="2" custLinFactNeighborX="-2488">
        <dgm:presLayoutVars>
          <dgm:chPref val="3"/>
        </dgm:presLayoutVars>
      </dgm:prSet>
      <dgm:spPr>
        <a:prstGeom prst="star10">
          <a:avLst/>
        </a:prstGeom>
      </dgm:spPr>
      <dgm:t>
        <a:bodyPr/>
        <a:lstStyle/>
        <a:p>
          <a:endParaRPr lang="es-ES"/>
        </a:p>
      </dgm:t>
    </dgm:pt>
    <dgm:pt modelId="{6AFA8E64-2578-4AB5-8BF1-E43F333F0386}" type="pres">
      <dgm:prSet presAssocID="{6760FD49-6534-40C1-8BE2-3EA6C1F2D61B}" presName="hierChild4" presStyleCnt="0"/>
      <dgm:spPr/>
    </dgm:pt>
    <dgm:pt modelId="{ECAB0918-CBDF-46C8-86B6-EC93E56B65E9}" type="pres">
      <dgm:prSet presAssocID="{2FE5ACD6-E116-425B-943C-7E5C05ABBF94}" presName="Name10" presStyleLbl="parChTrans1D2" presStyleIdx="1" presStyleCnt="2"/>
      <dgm:spPr/>
      <dgm:t>
        <a:bodyPr/>
        <a:lstStyle/>
        <a:p>
          <a:endParaRPr lang="es-ES"/>
        </a:p>
      </dgm:t>
    </dgm:pt>
    <dgm:pt modelId="{5546ED08-B5AB-4D3E-B000-739BE5CC9003}" type="pres">
      <dgm:prSet presAssocID="{FEEF5672-C94D-49B4-8124-19A531D3DED9}" presName="hierRoot2" presStyleCnt="0"/>
      <dgm:spPr/>
    </dgm:pt>
    <dgm:pt modelId="{810F9327-CECB-4478-BEFD-FE12EBD0A391}" type="pres">
      <dgm:prSet presAssocID="{FEEF5672-C94D-49B4-8124-19A531D3DED9}" presName="composite2" presStyleCnt="0"/>
      <dgm:spPr/>
    </dgm:pt>
    <dgm:pt modelId="{BC50D9F2-F793-45BA-BF7B-14686DE4928A}" type="pres">
      <dgm:prSet presAssocID="{FEEF5672-C94D-49B4-8124-19A531D3DED9}" presName="background2" presStyleLbl="node2" presStyleIdx="1" presStyleCnt="2"/>
      <dgm:spPr>
        <a:prstGeom prst="leftArrow">
          <a:avLst/>
        </a:prstGeom>
      </dgm:spPr>
      <dgm:t>
        <a:bodyPr/>
        <a:lstStyle/>
        <a:p>
          <a:endParaRPr lang="es-ES"/>
        </a:p>
      </dgm:t>
    </dgm:pt>
    <dgm:pt modelId="{09DC10EF-D0ED-423B-9F6F-4393AD166F3D}" type="pres">
      <dgm:prSet presAssocID="{FEEF5672-C94D-49B4-8124-19A531D3DED9}" presName="text2" presStyleLbl="fgAcc2" presStyleIdx="1" presStyleCnt="2" custLinFactNeighborX="75000" custLinFactNeighborY="-1007">
        <dgm:presLayoutVars>
          <dgm:chPref val="3"/>
        </dgm:presLayoutVars>
      </dgm:prSet>
      <dgm:spPr>
        <a:prstGeom prst="leftArrow">
          <a:avLst/>
        </a:prstGeom>
      </dgm:spPr>
      <dgm:t>
        <a:bodyPr/>
        <a:lstStyle/>
        <a:p>
          <a:endParaRPr lang="es-ES"/>
        </a:p>
      </dgm:t>
    </dgm:pt>
    <dgm:pt modelId="{67DD576B-8418-478D-83C2-BBF552B9B11F}" type="pres">
      <dgm:prSet presAssocID="{FEEF5672-C94D-49B4-8124-19A531D3DED9}" presName="hierChild3" presStyleCnt="0"/>
      <dgm:spPr/>
    </dgm:pt>
  </dgm:ptLst>
  <dgm:cxnLst>
    <dgm:cxn modelId="{C56B0ABE-B5EC-48C9-B597-36803DAEC6FF}" srcId="{D50A2EF3-1CC8-4DB4-93D2-DA0D5A6CF890}" destId="{BC973BA9-2D6A-465D-8027-449A38EFA3E8}" srcOrd="0" destOrd="0" parTransId="{B64B8D22-24F6-4F48-9600-82C8D8AC1896}" sibTransId="{C5313265-E601-43C5-9708-949A6168B1C7}"/>
    <dgm:cxn modelId="{F400723B-7560-49BA-801E-828D3CD1847E}" type="presOf" srcId="{BC973BA9-2D6A-465D-8027-449A38EFA3E8}" destId="{A2C1C95E-CC97-4F97-B8EB-230D62F30226}" srcOrd="0" destOrd="0" presId="urn:microsoft.com/office/officeart/2005/8/layout/hierarchy1"/>
    <dgm:cxn modelId="{A39CB27D-89D1-436B-AF0A-FEDE5D541948}" type="presOf" srcId="{4C76FF7D-5C4A-428F-8976-99A7CB192302}" destId="{34DA3FE4-E416-4154-AEA0-11CF09214110}" srcOrd="0" destOrd="0" presId="urn:microsoft.com/office/officeart/2005/8/layout/hierarchy1"/>
    <dgm:cxn modelId="{35E735E2-EEE3-4AA9-9095-3C9AAB9C2C4E}" srcId="{8D536C16-9A36-4222-A67B-441B2EF79AE7}" destId="{D50A2EF3-1CC8-4DB4-93D2-DA0D5A6CF890}" srcOrd="0" destOrd="0" parTransId="{790070C2-8B23-4911-948A-88387E77D2DE}" sibTransId="{3B6E94C1-BDA8-4E7B-843D-CF762F7F7952}"/>
    <dgm:cxn modelId="{291A7351-DB53-4090-8807-60B8B9392FCB}" type="presOf" srcId="{8D536C16-9A36-4222-A67B-441B2EF79AE7}" destId="{ED507A79-B504-428C-9643-2916F0629B92}" srcOrd="0" destOrd="0" presId="urn:microsoft.com/office/officeart/2005/8/layout/hierarchy1"/>
    <dgm:cxn modelId="{CF051AA5-4F70-4CA5-93B7-6D8BDF547660}" srcId="{BC973BA9-2D6A-465D-8027-449A38EFA3E8}" destId="{6760FD49-6534-40C1-8BE2-3EA6C1F2D61B}" srcOrd="1" destOrd="0" parTransId="{4C76FF7D-5C4A-428F-8976-99A7CB192302}" sibTransId="{67BBEFCE-AF2E-4B57-9FE5-B7E21BFB487B}"/>
    <dgm:cxn modelId="{3E55977B-2D0E-46A6-A18B-CC5EF7D5C721}" srcId="{D50A2EF3-1CC8-4DB4-93D2-DA0D5A6CF890}" destId="{FEEF5672-C94D-49B4-8124-19A531D3DED9}" srcOrd="1" destOrd="0" parTransId="{2FE5ACD6-E116-425B-943C-7E5C05ABBF94}" sibTransId="{D8893EAD-BF8F-4816-B476-172B87EE7B3D}"/>
    <dgm:cxn modelId="{B0A3F447-57A7-4F9D-A687-6304DED17386}" type="presOf" srcId="{2FE5ACD6-E116-425B-943C-7E5C05ABBF94}" destId="{ECAB0918-CBDF-46C8-86B6-EC93E56B65E9}" srcOrd="0" destOrd="0" presId="urn:microsoft.com/office/officeart/2005/8/layout/hierarchy1"/>
    <dgm:cxn modelId="{67CA78DE-21B4-443F-B293-42E1B0D42227}" type="presOf" srcId="{B64B8D22-24F6-4F48-9600-82C8D8AC1896}" destId="{961CF9D9-D443-4C08-A09E-42D2E1D2BE6C}" srcOrd="0" destOrd="0" presId="urn:microsoft.com/office/officeart/2005/8/layout/hierarchy1"/>
    <dgm:cxn modelId="{F22A7054-BC9F-402F-BECE-47CDCBDFBCFB}" type="presOf" srcId="{D50A2EF3-1CC8-4DB4-93D2-DA0D5A6CF890}" destId="{37A55FD4-F93B-48B0-979A-70A2CF84AE6E}" srcOrd="0" destOrd="0" presId="urn:microsoft.com/office/officeart/2005/8/layout/hierarchy1"/>
    <dgm:cxn modelId="{E0B9722D-0A24-4EE2-8C36-F9BBF36C066C}" type="presOf" srcId="{6760FD49-6534-40C1-8BE2-3EA6C1F2D61B}" destId="{68EAA40E-6828-498F-91D6-9FB9CEBEA7D7}" srcOrd="0" destOrd="0" presId="urn:microsoft.com/office/officeart/2005/8/layout/hierarchy1"/>
    <dgm:cxn modelId="{8CDEE4C5-124E-4154-8C1D-37055DD9337F}" type="presOf" srcId="{E091BC18-74F0-42CB-8350-D06CCC4324C7}" destId="{135B0B59-52E4-45B7-8C8B-E3247E215FF1}" srcOrd="0" destOrd="0" presId="urn:microsoft.com/office/officeart/2005/8/layout/hierarchy1"/>
    <dgm:cxn modelId="{5B45134D-386D-43A8-9A43-3199E5C6AEDE}" type="presOf" srcId="{FEEF5672-C94D-49B4-8124-19A531D3DED9}" destId="{09DC10EF-D0ED-423B-9F6F-4393AD166F3D}" srcOrd="0" destOrd="0" presId="urn:microsoft.com/office/officeart/2005/8/layout/hierarchy1"/>
    <dgm:cxn modelId="{43E79B29-6AD5-4BC6-8640-4391ACF3DF58}" srcId="{BC973BA9-2D6A-465D-8027-449A38EFA3E8}" destId="{E091BC18-74F0-42CB-8350-D06CCC4324C7}" srcOrd="0" destOrd="0" parTransId="{548D7D30-2A0E-4ABB-9BA8-9E2537E14FA9}" sibTransId="{E51A5055-1F2F-43A4-9029-C2BB583E9E98}"/>
    <dgm:cxn modelId="{5E777679-4F23-4EF5-822E-832E91016FC6}" type="presOf" srcId="{548D7D30-2A0E-4ABB-9BA8-9E2537E14FA9}" destId="{446156A5-DB3C-406E-82E1-0B876E41CD03}" srcOrd="0" destOrd="0" presId="urn:microsoft.com/office/officeart/2005/8/layout/hierarchy1"/>
    <dgm:cxn modelId="{49CBE968-F732-4EA7-9D48-524D2F12CC95}" type="presParOf" srcId="{ED507A79-B504-428C-9643-2916F0629B92}" destId="{ECB75368-C467-4169-B99B-339864889110}" srcOrd="0" destOrd="0" presId="urn:microsoft.com/office/officeart/2005/8/layout/hierarchy1"/>
    <dgm:cxn modelId="{91F14492-A594-4079-A2C7-3BDA346DCBC1}" type="presParOf" srcId="{ECB75368-C467-4169-B99B-339864889110}" destId="{217FA83F-A2A5-45D7-9DCA-D54C0988AC25}" srcOrd="0" destOrd="0" presId="urn:microsoft.com/office/officeart/2005/8/layout/hierarchy1"/>
    <dgm:cxn modelId="{B65E78AF-CEC3-4252-8C58-C6EAB7725C03}" type="presParOf" srcId="{217FA83F-A2A5-45D7-9DCA-D54C0988AC25}" destId="{50668A25-8223-4AA6-A3D2-2602F32EE32F}" srcOrd="0" destOrd="0" presId="urn:microsoft.com/office/officeart/2005/8/layout/hierarchy1"/>
    <dgm:cxn modelId="{609C4DC8-E6DF-47E5-A3D8-7D0352BF4C92}" type="presParOf" srcId="{217FA83F-A2A5-45D7-9DCA-D54C0988AC25}" destId="{37A55FD4-F93B-48B0-979A-70A2CF84AE6E}" srcOrd="1" destOrd="0" presId="urn:microsoft.com/office/officeart/2005/8/layout/hierarchy1"/>
    <dgm:cxn modelId="{E5769405-EF57-482C-90E0-20B38AB52177}" type="presParOf" srcId="{ECB75368-C467-4169-B99B-339864889110}" destId="{F34C623D-2AE1-49BF-AA4F-37DA4B915770}" srcOrd="1" destOrd="0" presId="urn:microsoft.com/office/officeart/2005/8/layout/hierarchy1"/>
    <dgm:cxn modelId="{AC9B2989-ECC3-4E5A-A0A2-9DB00D8EC6B5}" type="presParOf" srcId="{F34C623D-2AE1-49BF-AA4F-37DA4B915770}" destId="{961CF9D9-D443-4C08-A09E-42D2E1D2BE6C}" srcOrd="0" destOrd="0" presId="urn:microsoft.com/office/officeart/2005/8/layout/hierarchy1"/>
    <dgm:cxn modelId="{F3E23FA2-DE7B-458B-AC03-BFC1FA355EE1}" type="presParOf" srcId="{F34C623D-2AE1-49BF-AA4F-37DA4B915770}" destId="{2DD935FD-14E0-4F4D-925F-E8242C2967F1}" srcOrd="1" destOrd="0" presId="urn:microsoft.com/office/officeart/2005/8/layout/hierarchy1"/>
    <dgm:cxn modelId="{E2EFEDFE-A267-43CE-B979-A8B712C6F49A}" type="presParOf" srcId="{2DD935FD-14E0-4F4D-925F-E8242C2967F1}" destId="{F53B5B74-07EE-4A90-BF38-78324D66EBE5}" srcOrd="0" destOrd="0" presId="urn:microsoft.com/office/officeart/2005/8/layout/hierarchy1"/>
    <dgm:cxn modelId="{8B2EB3BA-F9BF-4B96-B2B5-87601644CCA4}" type="presParOf" srcId="{F53B5B74-07EE-4A90-BF38-78324D66EBE5}" destId="{F3EB4314-A224-49B2-9DD2-AE79A1FD0269}" srcOrd="0" destOrd="0" presId="urn:microsoft.com/office/officeart/2005/8/layout/hierarchy1"/>
    <dgm:cxn modelId="{85AB130E-D3B4-4484-8E3D-7BB79B714E5F}" type="presParOf" srcId="{F53B5B74-07EE-4A90-BF38-78324D66EBE5}" destId="{A2C1C95E-CC97-4F97-B8EB-230D62F30226}" srcOrd="1" destOrd="0" presId="urn:microsoft.com/office/officeart/2005/8/layout/hierarchy1"/>
    <dgm:cxn modelId="{2C371F8E-9B6B-4480-BCE6-F1C55C67338E}" type="presParOf" srcId="{2DD935FD-14E0-4F4D-925F-E8242C2967F1}" destId="{4A2A7C57-95C0-425B-AF69-974F6F8C5050}" srcOrd="1" destOrd="0" presId="urn:microsoft.com/office/officeart/2005/8/layout/hierarchy1"/>
    <dgm:cxn modelId="{5DFA2541-FF92-42A6-868E-2F5FEEB633AA}" type="presParOf" srcId="{4A2A7C57-95C0-425B-AF69-974F6F8C5050}" destId="{446156A5-DB3C-406E-82E1-0B876E41CD03}" srcOrd="0" destOrd="0" presId="urn:microsoft.com/office/officeart/2005/8/layout/hierarchy1"/>
    <dgm:cxn modelId="{9426A7AA-C626-4DAF-A515-E26858389D62}" type="presParOf" srcId="{4A2A7C57-95C0-425B-AF69-974F6F8C5050}" destId="{36FA5EB1-62DD-47E3-A16C-C5EB5B014974}" srcOrd="1" destOrd="0" presId="urn:microsoft.com/office/officeart/2005/8/layout/hierarchy1"/>
    <dgm:cxn modelId="{20DDC3D0-88C7-43D3-8FFA-0598C64BD087}" type="presParOf" srcId="{36FA5EB1-62DD-47E3-A16C-C5EB5B014974}" destId="{C43A8CE5-54D9-4EB5-8065-476F9626FEB0}" srcOrd="0" destOrd="0" presId="urn:microsoft.com/office/officeart/2005/8/layout/hierarchy1"/>
    <dgm:cxn modelId="{75E14B60-B849-4BEB-B081-BDFD9079AE69}" type="presParOf" srcId="{C43A8CE5-54D9-4EB5-8065-476F9626FEB0}" destId="{380E2EAD-DF0D-4C0B-A878-84C292EE21FC}" srcOrd="0" destOrd="0" presId="urn:microsoft.com/office/officeart/2005/8/layout/hierarchy1"/>
    <dgm:cxn modelId="{75C57110-81EC-4FC8-B4ED-DA69DF82964E}" type="presParOf" srcId="{C43A8CE5-54D9-4EB5-8065-476F9626FEB0}" destId="{135B0B59-52E4-45B7-8C8B-E3247E215FF1}" srcOrd="1" destOrd="0" presId="urn:microsoft.com/office/officeart/2005/8/layout/hierarchy1"/>
    <dgm:cxn modelId="{AC9CACA1-637C-486D-91AA-ABDB3623808C}" type="presParOf" srcId="{36FA5EB1-62DD-47E3-A16C-C5EB5B014974}" destId="{31F47200-6EB5-4498-9698-2AF5F01DA67D}" srcOrd="1" destOrd="0" presId="urn:microsoft.com/office/officeart/2005/8/layout/hierarchy1"/>
    <dgm:cxn modelId="{4A6AC58B-2DF0-443C-BEEE-532DBA92C298}" type="presParOf" srcId="{4A2A7C57-95C0-425B-AF69-974F6F8C5050}" destId="{34DA3FE4-E416-4154-AEA0-11CF09214110}" srcOrd="2" destOrd="0" presId="urn:microsoft.com/office/officeart/2005/8/layout/hierarchy1"/>
    <dgm:cxn modelId="{DCA5801D-5DBF-409C-A2A2-4AA9373BEC8E}" type="presParOf" srcId="{4A2A7C57-95C0-425B-AF69-974F6F8C5050}" destId="{48193D19-DBB5-4D98-8651-3C0884802510}" srcOrd="3" destOrd="0" presId="urn:microsoft.com/office/officeart/2005/8/layout/hierarchy1"/>
    <dgm:cxn modelId="{AACEB63D-0446-4F79-895F-F28EBBE75C91}" type="presParOf" srcId="{48193D19-DBB5-4D98-8651-3C0884802510}" destId="{5AE7363A-2086-49B6-8708-19D2A58560F3}" srcOrd="0" destOrd="0" presId="urn:microsoft.com/office/officeart/2005/8/layout/hierarchy1"/>
    <dgm:cxn modelId="{FF3AC20E-AEE0-4BC8-8AC4-4F6E97412B9E}" type="presParOf" srcId="{5AE7363A-2086-49B6-8708-19D2A58560F3}" destId="{CA3DA2A2-2DA2-417B-9CBB-8C22C4A75AAB}" srcOrd="0" destOrd="0" presId="urn:microsoft.com/office/officeart/2005/8/layout/hierarchy1"/>
    <dgm:cxn modelId="{F29E4390-3D0D-40CF-A320-DBC17DAD5B4F}" type="presParOf" srcId="{5AE7363A-2086-49B6-8708-19D2A58560F3}" destId="{68EAA40E-6828-498F-91D6-9FB9CEBEA7D7}" srcOrd="1" destOrd="0" presId="urn:microsoft.com/office/officeart/2005/8/layout/hierarchy1"/>
    <dgm:cxn modelId="{DBA7FEB4-08DB-4D1B-8196-3B931AC9C483}" type="presParOf" srcId="{48193D19-DBB5-4D98-8651-3C0884802510}" destId="{6AFA8E64-2578-4AB5-8BF1-E43F333F0386}" srcOrd="1" destOrd="0" presId="urn:microsoft.com/office/officeart/2005/8/layout/hierarchy1"/>
    <dgm:cxn modelId="{1F6BCEEB-54F3-41BB-BE04-7B04C984660A}" type="presParOf" srcId="{F34C623D-2AE1-49BF-AA4F-37DA4B915770}" destId="{ECAB0918-CBDF-46C8-86B6-EC93E56B65E9}" srcOrd="2" destOrd="0" presId="urn:microsoft.com/office/officeart/2005/8/layout/hierarchy1"/>
    <dgm:cxn modelId="{A4723D67-2612-430C-AEC2-E7DB5134EEDC}" type="presParOf" srcId="{F34C623D-2AE1-49BF-AA4F-37DA4B915770}" destId="{5546ED08-B5AB-4D3E-B000-739BE5CC9003}" srcOrd="3" destOrd="0" presId="urn:microsoft.com/office/officeart/2005/8/layout/hierarchy1"/>
    <dgm:cxn modelId="{69A2CB78-85B0-4639-98E1-DB78FFDB77E7}" type="presParOf" srcId="{5546ED08-B5AB-4D3E-B000-739BE5CC9003}" destId="{810F9327-CECB-4478-BEFD-FE12EBD0A391}" srcOrd="0" destOrd="0" presId="urn:microsoft.com/office/officeart/2005/8/layout/hierarchy1"/>
    <dgm:cxn modelId="{7011696A-64DD-44CC-96D9-2A0F7A057C0D}" type="presParOf" srcId="{810F9327-CECB-4478-BEFD-FE12EBD0A391}" destId="{BC50D9F2-F793-45BA-BF7B-14686DE4928A}" srcOrd="0" destOrd="0" presId="urn:microsoft.com/office/officeart/2005/8/layout/hierarchy1"/>
    <dgm:cxn modelId="{4D6BACF6-6560-4A56-B193-BC2D0B7C670C}" type="presParOf" srcId="{810F9327-CECB-4478-BEFD-FE12EBD0A391}" destId="{09DC10EF-D0ED-423B-9F6F-4393AD166F3D}" srcOrd="1" destOrd="0" presId="urn:microsoft.com/office/officeart/2005/8/layout/hierarchy1"/>
    <dgm:cxn modelId="{FB565E8E-408C-40A4-BBAE-0EF24DC58F83}" type="presParOf" srcId="{5546ED08-B5AB-4D3E-B000-739BE5CC9003}" destId="{67DD576B-8418-478D-83C2-BBF552B9B11F}"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536C16-9A36-4222-A67B-441B2EF79AE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D50A2EF3-1CC8-4DB4-93D2-DA0D5A6CF890}">
      <dgm:prSet phldrT="[Texto]">
        <dgm:style>
          <a:lnRef idx="0">
            <a:schemeClr val="accent1"/>
          </a:lnRef>
          <a:fillRef idx="3">
            <a:schemeClr val="accent1"/>
          </a:fillRef>
          <a:effectRef idx="3">
            <a:schemeClr val="accent1"/>
          </a:effectRef>
          <a:fontRef idx="minor">
            <a:schemeClr val="lt1"/>
          </a:fontRef>
        </dgm:style>
      </dgm:prSet>
      <dgm:spPr/>
      <dgm:t>
        <a:bodyPr/>
        <a:lstStyle/>
        <a:p>
          <a:r>
            <a:rPr lang="es-ES">
              <a:solidFill>
                <a:srgbClr val="FFFF00"/>
              </a:solidFill>
            </a:rPr>
            <a:t>PNPC</a:t>
          </a:r>
        </a:p>
      </dgm:t>
    </dgm:pt>
    <dgm:pt modelId="{790070C2-8B23-4911-948A-88387E77D2DE}" type="parTrans" cxnId="{35E735E2-EEE3-4AA9-9095-3C9AAB9C2C4E}">
      <dgm:prSet/>
      <dgm:spPr/>
      <dgm:t>
        <a:bodyPr/>
        <a:lstStyle/>
        <a:p>
          <a:endParaRPr lang="es-ES">
            <a:solidFill>
              <a:srgbClr val="FFFF00"/>
            </a:solidFill>
          </a:endParaRPr>
        </a:p>
      </dgm:t>
    </dgm:pt>
    <dgm:pt modelId="{3B6E94C1-BDA8-4E7B-843D-CF762F7F7952}" type="sibTrans" cxnId="{35E735E2-EEE3-4AA9-9095-3C9AAB9C2C4E}">
      <dgm:prSet/>
      <dgm:spPr/>
      <dgm:t>
        <a:bodyPr/>
        <a:lstStyle/>
        <a:p>
          <a:endParaRPr lang="es-ES">
            <a:solidFill>
              <a:srgbClr val="FFFF00"/>
            </a:solidFill>
          </a:endParaRPr>
        </a:p>
      </dgm:t>
    </dgm:pt>
    <dgm:pt modelId="{BC973BA9-2D6A-465D-8027-449A38EFA3E8}">
      <dgm:prSet phldrT="[Texto]">
        <dgm:style>
          <a:lnRef idx="0">
            <a:schemeClr val="accent1"/>
          </a:lnRef>
          <a:fillRef idx="3">
            <a:schemeClr val="accent1"/>
          </a:fillRef>
          <a:effectRef idx="3">
            <a:schemeClr val="accent1"/>
          </a:effectRef>
          <a:fontRef idx="minor">
            <a:schemeClr val="lt1"/>
          </a:fontRef>
        </dgm:style>
      </dgm:prSet>
      <dgm:spPr/>
      <dgm:t>
        <a:bodyPr/>
        <a:lstStyle/>
        <a:p>
          <a:r>
            <a:rPr lang="es-ES">
              <a:solidFill>
                <a:srgbClr val="FFFF00"/>
              </a:solidFill>
            </a:rPr>
            <a:t>PNP</a:t>
          </a:r>
        </a:p>
      </dgm:t>
    </dgm:pt>
    <dgm:pt modelId="{B64B8D22-24F6-4F48-9600-82C8D8AC1896}" type="parTrans" cxnId="{C56B0ABE-B5EC-48C9-B597-36803DAEC6FF}">
      <dgm:prSet/>
      <dgm:spPr/>
      <dgm:t>
        <a:bodyPr/>
        <a:lstStyle/>
        <a:p>
          <a:endParaRPr lang="es-ES">
            <a:solidFill>
              <a:srgbClr val="FFFF00"/>
            </a:solidFill>
          </a:endParaRPr>
        </a:p>
      </dgm:t>
    </dgm:pt>
    <dgm:pt modelId="{C5313265-E601-43C5-9708-949A6168B1C7}" type="sibTrans" cxnId="{C56B0ABE-B5EC-48C9-B597-36803DAEC6FF}">
      <dgm:prSet/>
      <dgm:spPr/>
      <dgm:t>
        <a:bodyPr/>
        <a:lstStyle/>
        <a:p>
          <a:endParaRPr lang="es-ES">
            <a:solidFill>
              <a:srgbClr val="FFFF00"/>
            </a:solidFill>
          </a:endParaRPr>
        </a:p>
      </dgm:t>
    </dgm:pt>
    <dgm:pt modelId="{FEEF5672-C94D-49B4-8124-19A531D3DED9}">
      <dgm:prSet phldrT="[Texto]">
        <dgm:style>
          <a:lnRef idx="0">
            <a:schemeClr val="accent1"/>
          </a:lnRef>
          <a:fillRef idx="3">
            <a:schemeClr val="accent1"/>
          </a:fillRef>
          <a:effectRef idx="3">
            <a:schemeClr val="accent1"/>
          </a:effectRef>
          <a:fontRef idx="minor">
            <a:schemeClr val="lt1"/>
          </a:fontRef>
        </dgm:style>
      </dgm:prSet>
      <dgm:spPr/>
      <dgm:t>
        <a:bodyPr/>
        <a:lstStyle/>
        <a:p>
          <a:r>
            <a:rPr lang="es-ES">
              <a:solidFill>
                <a:srgbClr val="FFFF00"/>
              </a:solidFill>
            </a:rPr>
            <a:t>PFC</a:t>
          </a:r>
        </a:p>
      </dgm:t>
    </dgm:pt>
    <dgm:pt modelId="{2FE5ACD6-E116-425B-943C-7E5C05ABBF94}" type="parTrans" cxnId="{3E55977B-2D0E-46A6-A18B-CC5EF7D5C721}">
      <dgm:prSet/>
      <dgm:spPr/>
      <dgm:t>
        <a:bodyPr/>
        <a:lstStyle/>
        <a:p>
          <a:endParaRPr lang="es-ES">
            <a:solidFill>
              <a:srgbClr val="FFFF00"/>
            </a:solidFill>
          </a:endParaRPr>
        </a:p>
      </dgm:t>
    </dgm:pt>
    <dgm:pt modelId="{D8893EAD-BF8F-4816-B476-172B87EE7B3D}" type="sibTrans" cxnId="{3E55977B-2D0E-46A6-A18B-CC5EF7D5C721}">
      <dgm:prSet/>
      <dgm:spPr/>
      <dgm:t>
        <a:bodyPr/>
        <a:lstStyle/>
        <a:p>
          <a:endParaRPr lang="es-ES">
            <a:solidFill>
              <a:srgbClr val="FFFF00"/>
            </a:solidFill>
          </a:endParaRPr>
        </a:p>
      </dgm:t>
    </dgm:pt>
    <dgm:pt modelId="{E091BC18-74F0-42CB-8350-D06CCC4324C7}">
      <dgm:prSet>
        <dgm:style>
          <a:lnRef idx="0">
            <a:schemeClr val="accent1"/>
          </a:lnRef>
          <a:fillRef idx="3">
            <a:schemeClr val="accent1"/>
          </a:fillRef>
          <a:effectRef idx="3">
            <a:schemeClr val="accent1"/>
          </a:effectRef>
          <a:fontRef idx="minor">
            <a:schemeClr val="lt1"/>
          </a:fontRef>
        </dgm:style>
      </dgm:prSet>
      <dgm:spPr/>
      <dgm:t>
        <a:bodyPr/>
        <a:lstStyle/>
        <a:p>
          <a:r>
            <a:rPr lang="es-ES">
              <a:solidFill>
                <a:srgbClr val="FFFF00"/>
              </a:solidFill>
            </a:rPr>
            <a:t>COMPETENCIA INTERNACIONAL</a:t>
          </a:r>
        </a:p>
      </dgm:t>
    </dgm:pt>
    <dgm:pt modelId="{548D7D30-2A0E-4ABB-9BA8-9E2537E14FA9}" type="parTrans" cxnId="{43E79B29-6AD5-4BC6-8640-4391ACF3DF58}">
      <dgm:prSet/>
      <dgm:spPr/>
      <dgm:t>
        <a:bodyPr/>
        <a:lstStyle/>
        <a:p>
          <a:endParaRPr lang="es-ES">
            <a:solidFill>
              <a:srgbClr val="FFFF00"/>
            </a:solidFill>
          </a:endParaRPr>
        </a:p>
      </dgm:t>
    </dgm:pt>
    <dgm:pt modelId="{E51A5055-1F2F-43A4-9029-C2BB583E9E98}" type="sibTrans" cxnId="{43E79B29-6AD5-4BC6-8640-4391ACF3DF58}">
      <dgm:prSet/>
      <dgm:spPr/>
      <dgm:t>
        <a:bodyPr/>
        <a:lstStyle/>
        <a:p>
          <a:endParaRPr lang="es-ES">
            <a:solidFill>
              <a:srgbClr val="FFFF00"/>
            </a:solidFill>
          </a:endParaRPr>
        </a:p>
      </dgm:t>
    </dgm:pt>
    <dgm:pt modelId="{6760FD49-6534-40C1-8BE2-3EA6C1F2D61B}">
      <dgm:prSet>
        <dgm:style>
          <a:lnRef idx="0">
            <a:schemeClr val="accent1"/>
          </a:lnRef>
          <a:fillRef idx="3">
            <a:schemeClr val="accent1"/>
          </a:fillRef>
          <a:effectRef idx="3">
            <a:schemeClr val="accent1"/>
          </a:effectRef>
          <a:fontRef idx="minor">
            <a:schemeClr val="lt1"/>
          </a:fontRef>
        </dgm:style>
      </dgm:prSet>
      <dgm:spPr/>
      <dgm:t>
        <a:bodyPr/>
        <a:lstStyle/>
        <a:p>
          <a:r>
            <a:rPr lang="es-ES">
              <a:solidFill>
                <a:srgbClr val="FFFF00"/>
              </a:solidFill>
            </a:rPr>
            <a:t>CONSOLIDADOS</a:t>
          </a:r>
        </a:p>
      </dgm:t>
    </dgm:pt>
    <dgm:pt modelId="{4C76FF7D-5C4A-428F-8976-99A7CB192302}" type="parTrans" cxnId="{CF051AA5-4F70-4CA5-93B7-6D8BDF547660}">
      <dgm:prSet/>
      <dgm:spPr/>
      <dgm:t>
        <a:bodyPr/>
        <a:lstStyle/>
        <a:p>
          <a:endParaRPr lang="es-ES">
            <a:solidFill>
              <a:srgbClr val="FFFF00"/>
            </a:solidFill>
          </a:endParaRPr>
        </a:p>
      </dgm:t>
    </dgm:pt>
    <dgm:pt modelId="{67BBEFCE-AF2E-4B57-9FE5-B7E21BFB487B}" type="sibTrans" cxnId="{CF051AA5-4F70-4CA5-93B7-6D8BDF547660}">
      <dgm:prSet/>
      <dgm:spPr/>
      <dgm:t>
        <a:bodyPr/>
        <a:lstStyle/>
        <a:p>
          <a:endParaRPr lang="es-ES">
            <a:solidFill>
              <a:srgbClr val="FFFF00"/>
            </a:solidFill>
          </a:endParaRPr>
        </a:p>
      </dgm:t>
    </dgm:pt>
    <dgm:pt modelId="{604E0730-DB57-483B-ABFE-0C49493D886B}">
      <dgm:prSet>
        <dgm:style>
          <a:lnRef idx="0">
            <a:schemeClr val="accent1"/>
          </a:lnRef>
          <a:fillRef idx="3">
            <a:schemeClr val="accent1"/>
          </a:fillRef>
          <a:effectRef idx="3">
            <a:schemeClr val="accent1"/>
          </a:effectRef>
          <a:fontRef idx="minor">
            <a:schemeClr val="lt1"/>
          </a:fontRef>
        </dgm:style>
      </dgm:prSet>
      <dgm:spPr/>
      <dgm:t>
        <a:bodyPr/>
        <a:lstStyle/>
        <a:p>
          <a:r>
            <a:rPr lang="es-ES">
              <a:solidFill>
                <a:srgbClr val="FFFF00"/>
              </a:solidFill>
            </a:rPr>
            <a:t>EN CONSOLIDACIÓN</a:t>
          </a:r>
        </a:p>
      </dgm:t>
    </dgm:pt>
    <dgm:pt modelId="{A54AF3D7-C6AE-4072-8AD1-0C8C2EF316A8}" type="parTrans" cxnId="{D96C3865-97F5-487F-88DF-7B4C995F9FA9}">
      <dgm:prSet/>
      <dgm:spPr/>
      <dgm:t>
        <a:bodyPr/>
        <a:lstStyle/>
        <a:p>
          <a:endParaRPr lang="es-ES">
            <a:solidFill>
              <a:srgbClr val="FFFF00"/>
            </a:solidFill>
          </a:endParaRPr>
        </a:p>
      </dgm:t>
    </dgm:pt>
    <dgm:pt modelId="{3F394629-497A-42A1-B9C1-016A8B8282EA}" type="sibTrans" cxnId="{D96C3865-97F5-487F-88DF-7B4C995F9FA9}">
      <dgm:prSet/>
      <dgm:spPr/>
      <dgm:t>
        <a:bodyPr/>
        <a:lstStyle/>
        <a:p>
          <a:endParaRPr lang="es-ES">
            <a:solidFill>
              <a:srgbClr val="FFFF00"/>
            </a:solidFill>
          </a:endParaRPr>
        </a:p>
      </dgm:t>
    </dgm:pt>
    <dgm:pt modelId="{B7F27CF8-0890-4EFB-BCC3-397D0139B35F}">
      <dgm:prSet>
        <dgm:style>
          <a:lnRef idx="0">
            <a:schemeClr val="accent1"/>
          </a:lnRef>
          <a:fillRef idx="3">
            <a:schemeClr val="accent1"/>
          </a:fillRef>
          <a:effectRef idx="3">
            <a:schemeClr val="accent1"/>
          </a:effectRef>
          <a:fontRef idx="minor">
            <a:schemeClr val="lt1"/>
          </a:fontRef>
        </dgm:style>
      </dgm:prSet>
      <dgm:spPr/>
      <dgm:t>
        <a:bodyPr/>
        <a:lstStyle/>
        <a:p>
          <a:r>
            <a:rPr lang="es-ES">
              <a:solidFill>
                <a:srgbClr val="FFFF00"/>
              </a:solidFill>
            </a:rPr>
            <a:t>DE RECIENTE CREACIÓN</a:t>
          </a:r>
        </a:p>
      </dgm:t>
    </dgm:pt>
    <dgm:pt modelId="{4DA7D838-D724-4A6A-813E-976F26F26984}" type="parTrans" cxnId="{CB87DB3C-E407-4C79-8D50-AB7B53F444ED}">
      <dgm:prSet/>
      <dgm:spPr/>
      <dgm:t>
        <a:bodyPr/>
        <a:lstStyle/>
        <a:p>
          <a:endParaRPr lang="es-ES">
            <a:solidFill>
              <a:srgbClr val="FFFF00"/>
            </a:solidFill>
          </a:endParaRPr>
        </a:p>
      </dgm:t>
    </dgm:pt>
    <dgm:pt modelId="{48F2E6E1-44BE-4DB4-A967-FC45B5598F05}" type="sibTrans" cxnId="{CB87DB3C-E407-4C79-8D50-AB7B53F444ED}">
      <dgm:prSet/>
      <dgm:spPr/>
      <dgm:t>
        <a:bodyPr/>
        <a:lstStyle/>
        <a:p>
          <a:endParaRPr lang="es-ES">
            <a:solidFill>
              <a:srgbClr val="FFFF00"/>
            </a:solidFill>
          </a:endParaRPr>
        </a:p>
      </dgm:t>
    </dgm:pt>
    <dgm:pt modelId="{ED507A79-B504-428C-9643-2916F0629B92}" type="pres">
      <dgm:prSet presAssocID="{8D536C16-9A36-4222-A67B-441B2EF79AE7}" presName="hierChild1" presStyleCnt="0">
        <dgm:presLayoutVars>
          <dgm:chPref val="1"/>
          <dgm:dir/>
          <dgm:animOne val="branch"/>
          <dgm:animLvl val="lvl"/>
          <dgm:resizeHandles/>
        </dgm:presLayoutVars>
      </dgm:prSet>
      <dgm:spPr/>
      <dgm:t>
        <a:bodyPr/>
        <a:lstStyle/>
        <a:p>
          <a:endParaRPr lang="es-ES"/>
        </a:p>
      </dgm:t>
    </dgm:pt>
    <dgm:pt modelId="{ECB75368-C467-4169-B99B-339864889110}" type="pres">
      <dgm:prSet presAssocID="{D50A2EF3-1CC8-4DB4-93D2-DA0D5A6CF890}" presName="hierRoot1" presStyleCnt="0"/>
      <dgm:spPr/>
    </dgm:pt>
    <dgm:pt modelId="{217FA83F-A2A5-45D7-9DCA-D54C0988AC25}" type="pres">
      <dgm:prSet presAssocID="{D50A2EF3-1CC8-4DB4-93D2-DA0D5A6CF890}" presName="composite" presStyleCnt="0"/>
      <dgm:spPr/>
    </dgm:pt>
    <dgm:pt modelId="{50668A25-8223-4AA6-A3D2-2602F32EE32F}" type="pres">
      <dgm:prSet presAssocID="{D50A2EF3-1CC8-4DB4-93D2-DA0D5A6CF890}" presName="background" presStyleLbl="node0" presStyleIdx="0" presStyleCnt="1"/>
      <dgm:spPr>
        <a:prstGeom prst="wave">
          <a:avLst/>
        </a:prstGeom>
      </dgm:spPr>
    </dgm:pt>
    <dgm:pt modelId="{37A55FD4-F93B-48B0-979A-70A2CF84AE6E}" type="pres">
      <dgm:prSet presAssocID="{D50A2EF3-1CC8-4DB4-93D2-DA0D5A6CF890}" presName="text" presStyleLbl="fgAcc0" presStyleIdx="0" presStyleCnt="1" custScaleX="90910" custLinFactNeighborX="-41522" custLinFactNeighborY="-43">
        <dgm:presLayoutVars>
          <dgm:chPref val="3"/>
        </dgm:presLayoutVars>
      </dgm:prSet>
      <dgm:spPr>
        <a:prstGeom prst="wave">
          <a:avLst/>
        </a:prstGeom>
      </dgm:spPr>
      <dgm:t>
        <a:bodyPr/>
        <a:lstStyle/>
        <a:p>
          <a:endParaRPr lang="es-ES"/>
        </a:p>
      </dgm:t>
    </dgm:pt>
    <dgm:pt modelId="{F34C623D-2AE1-49BF-AA4F-37DA4B915770}" type="pres">
      <dgm:prSet presAssocID="{D50A2EF3-1CC8-4DB4-93D2-DA0D5A6CF890}" presName="hierChild2" presStyleCnt="0"/>
      <dgm:spPr/>
    </dgm:pt>
    <dgm:pt modelId="{961CF9D9-D443-4C08-A09E-42D2E1D2BE6C}" type="pres">
      <dgm:prSet presAssocID="{B64B8D22-24F6-4F48-9600-82C8D8AC1896}" presName="Name10" presStyleLbl="parChTrans1D2" presStyleIdx="0" presStyleCnt="2"/>
      <dgm:spPr/>
      <dgm:t>
        <a:bodyPr/>
        <a:lstStyle/>
        <a:p>
          <a:endParaRPr lang="es-ES"/>
        </a:p>
      </dgm:t>
    </dgm:pt>
    <dgm:pt modelId="{2DD935FD-14E0-4F4D-925F-E8242C2967F1}" type="pres">
      <dgm:prSet presAssocID="{BC973BA9-2D6A-465D-8027-449A38EFA3E8}" presName="hierRoot2" presStyleCnt="0"/>
      <dgm:spPr/>
    </dgm:pt>
    <dgm:pt modelId="{F53B5B74-07EE-4A90-BF38-78324D66EBE5}" type="pres">
      <dgm:prSet presAssocID="{BC973BA9-2D6A-465D-8027-449A38EFA3E8}" presName="composite2" presStyleCnt="0"/>
      <dgm:spPr/>
    </dgm:pt>
    <dgm:pt modelId="{F3EB4314-A224-49B2-9DD2-AE79A1FD0269}" type="pres">
      <dgm:prSet presAssocID="{BC973BA9-2D6A-465D-8027-449A38EFA3E8}" presName="background2" presStyleLbl="node2" presStyleIdx="0" presStyleCnt="2"/>
      <dgm:spPr>
        <a:prstGeom prst="star32">
          <a:avLst/>
        </a:prstGeom>
      </dgm:spPr>
    </dgm:pt>
    <dgm:pt modelId="{A2C1C95E-CC97-4F97-B8EB-230D62F30226}" type="pres">
      <dgm:prSet presAssocID="{BC973BA9-2D6A-465D-8027-449A38EFA3E8}" presName="text2" presStyleLbl="fgAcc2" presStyleIdx="0" presStyleCnt="2" custScaleX="186548" custScaleY="105302" custLinFactNeighborX="43417" custLinFactNeighborY="424">
        <dgm:presLayoutVars>
          <dgm:chPref val="3"/>
        </dgm:presLayoutVars>
      </dgm:prSet>
      <dgm:spPr>
        <a:prstGeom prst="star32">
          <a:avLst/>
        </a:prstGeom>
      </dgm:spPr>
      <dgm:t>
        <a:bodyPr/>
        <a:lstStyle/>
        <a:p>
          <a:endParaRPr lang="es-ES"/>
        </a:p>
      </dgm:t>
    </dgm:pt>
    <dgm:pt modelId="{4A2A7C57-95C0-425B-AF69-974F6F8C5050}" type="pres">
      <dgm:prSet presAssocID="{BC973BA9-2D6A-465D-8027-449A38EFA3E8}" presName="hierChild3" presStyleCnt="0"/>
      <dgm:spPr/>
    </dgm:pt>
    <dgm:pt modelId="{446156A5-DB3C-406E-82E1-0B876E41CD03}" type="pres">
      <dgm:prSet presAssocID="{548D7D30-2A0E-4ABB-9BA8-9E2537E14FA9}" presName="Name17" presStyleLbl="parChTrans1D3" presStyleIdx="0" presStyleCnt="4"/>
      <dgm:spPr/>
      <dgm:t>
        <a:bodyPr/>
        <a:lstStyle/>
        <a:p>
          <a:endParaRPr lang="es-ES"/>
        </a:p>
      </dgm:t>
    </dgm:pt>
    <dgm:pt modelId="{36FA5EB1-62DD-47E3-A16C-C5EB5B014974}" type="pres">
      <dgm:prSet presAssocID="{E091BC18-74F0-42CB-8350-D06CCC4324C7}" presName="hierRoot3" presStyleCnt="0"/>
      <dgm:spPr/>
    </dgm:pt>
    <dgm:pt modelId="{C43A8CE5-54D9-4EB5-8065-476F9626FEB0}" type="pres">
      <dgm:prSet presAssocID="{E091BC18-74F0-42CB-8350-D06CCC4324C7}" presName="composite3" presStyleCnt="0"/>
      <dgm:spPr/>
    </dgm:pt>
    <dgm:pt modelId="{380E2EAD-DF0D-4C0B-A878-84C292EE21FC}" type="pres">
      <dgm:prSet presAssocID="{E091BC18-74F0-42CB-8350-D06CCC4324C7}" presName="background3" presStyleLbl="node3" presStyleIdx="0" presStyleCnt="4"/>
      <dgm:spPr>
        <a:prstGeom prst="star10">
          <a:avLst/>
        </a:prstGeom>
      </dgm:spPr>
    </dgm:pt>
    <dgm:pt modelId="{135B0B59-52E4-45B7-8C8B-E3247E215FF1}" type="pres">
      <dgm:prSet presAssocID="{E091BC18-74F0-42CB-8350-D06CCC4324C7}" presName="text3" presStyleLbl="fgAcc3" presStyleIdx="0" presStyleCnt="4" custLinFactNeighborX="40929" custLinFactNeighborY="256">
        <dgm:presLayoutVars>
          <dgm:chPref val="3"/>
        </dgm:presLayoutVars>
      </dgm:prSet>
      <dgm:spPr>
        <a:prstGeom prst="star10">
          <a:avLst/>
        </a:prstGeom>
      </dgm:spPr>
      <dgm:t>
        <a:bodyPr/>
        <a:lstStyle/>
        <a:p>
          <a:endParaRPr lang="es-ES"/>
        </a:p>
      </dgm:t>
    </dgm:pt>
    <dgm:pt modelId="{31F47200-6EB5-4498-9698-2AF5F01DA67D}" type="pres">
      <dgm:prSet presAssocID="{E091BC18-74F0-42CB-8350-D06CCC4324C7}" presName="hierChild4" presStyleCnt="0"/>
      <dgm:spPr/>
    </dgm:pt>
    <dgm:pt modelId="{34DA3FE4-E416-4154-AEA0-11CF09214110}" type="pres">
      <dgm:prSet presAssocID="{4C76FF7D-5C4A-428F-8976-99A7CB192302}" presName="Name17" presStyleLbl="parChTrans1D3" presStyleIdx="1" presStyleCnt="4"/>
      <dgm:spPr/>
      <dgm:t>
        <a:bodyPr/>
        <a:lstStyle/>
        <a:p>
          <a:endParaRPr lang="es-ES"/>
        </a:p>
      </dgm:t>
    </dgm:pt>
    <dgm:pt modelId="{48193D19-DBB5-4D98-8651-3C0884802510}" type="pres">
      <dgm:prSet presAssocID="{6760FD49-6534-40C1-8BE2-3EA6C1F2D61B}" presName="hierRoot3" presStyleCnt="0"/>
      <dgm:spPr/>
    </dgm:pt>
    <dgm:pt modelId="{5AE7363A-2086-49B6-8708-19D2A58560F3}" type="pres">
      <dgm:prSet presAssocID="{6760FD49-6534-40C1-8BE2-3EA6C1F2D61B}" presName="composite3" presStyleCnt="0"/>
      <dgm:spPr/>
    </dgm:pt>
    <dgm:pt modelId="{CA3DA2A2-2DA2-417B-9CBB-8C22C4A75AAB}" type="pres">
      <dgm:prSet presAssocID="{6760FD49-6534-40C1-8BE2-3EA6C1F2D61B}" presName="background3" presStyleLbl="node3" presStyleIdx="1" presStyleCnt="4"/>
      <dgm:spPr>
        <a:prstGeom prst="star10">
          <a:avLst/>
        </a:prstGeom>
      </dgm:spPr>
    </dgm:pt>
    <dgm:pt modelId="{68EAA40E-6828-498F-91D6-9FB9CEBEA7D7}" type="pres">
      <dgm:prSet presAssocID="{6760FD49-6534-40C1-8BE2-3EA6C1F2D61B}" presName="text3" presStyleLbl="fgAcc3" presStyleIdx="1" presStyleCnt="4" custLinFactNeighborX="40929" custLinFactNeighborY="256">
        <dgm:presLayoutVars>
          <dgm:chPref val="3"/>
        </dgm:presLayoutVars>
      </dgm:prSet>
      <dgm:spPr>
        <a:prstGeom prst="star10">
          <a:avLst/>
        </a:prstGeom>
      </dgm:spPr>
      <dgm:t>
        <a:bodyPr/>
        <a:lstStyle/>
        <a:p>
          <a:endParaRPr lang="es-ES"/>
        </a:p>
      </dgm:t>
    </dgm:pt>
    <dgm:pt modelId="{6AFA8E64-2578-4AB5-8BF1-E43F333F0386}" type="pres">
      <dgm:prSet presAssocID="{6760FD49-6534-40C1-8BE2-3EA6C1F2D61B}" presName="hierChild4" presStyleCnt="0"/>
      <dgm:spPr/>
    </dgm:pt>
    <dgm:pt modelId="{ECAB0918-CBDF-46C8-86B6-EC93E56B65E9}" type="pres">
      <dgm:prSet presAssocID="{2FE5ACD6-E116-425B-943C-7E5C05ABBF94}" presName="Name10" presStyleLbl="parChTrans1D2" presStyleIdx="1" presStyleCnt="2"/>
      <dgm:spPr/>
      <dgm:t>
        <a:bodyPr/>
        <a:lstStyle/>
        <a:p>
          <a:endParaRPr lang="es-ES"/>
        </a:p>
      </dgm:t>
    </dgm:pt>
    <dgm:pt modelId="{5546ED08-B5AB-4D3E-B000-739BE5CC9003}" type="pres">
      <dgm:prSet presAssocID="{FEEF5672-C94D-49B4-8124-19A531D3DED9}" presName="hierRoot2" presStyleCnt="0"/>
      <dgm:spPr/>
    </dgm:pt>
    <dgm:pt modelId="{810F9327-CECB-4478-BEFD-FE12EBD0A391}" type="pres">
      <dgm:prSet presAssocID="{FEEF5672-C94D-49B4-8124-19A531D3DED9}" presName="composite2" presStyleCnt="0"/>
      <dgm:spPr/>
    </dgm:pt>
    <dgm:pt modelId="{BC50D9F2-F793-45BA-BF7B-14686DE4928A}" type="pres">
      <dgm:prSet presAssocID="{FEEF5672-C94D-49B4-8124-19A531D3DED9}" presName="background2" presStyleLbl="node2" presStyleIdx="1" presStyleCnt="2"/>
      <dgm:spPr>
        <a:prstGeom prst="leftArrow">
          <a:avLst/>
        </a:prstGeom>
      </dgm:spPr>
    </dgm:pt>
    <dgm:pt modelId="{09DC10EF-D0ED-423B-9F6F-4393AD166F3D}" type="pres">
      <dgm:prSet presAssocID="{FEEF5672-C94D-49B4-8124-19A531D3DED9}" presName="text2" presStyleLbl="fgAcc2" presStyleIdx="1" presStyleCnt="2" custScaleX="84951" custScaleY="72388" custLinFactNeighborX="73297" custLinFactNeighborY="4655">
        <dgm:presLayoutVars>
          <dgm:chPref val="3"/>
        </dgm:presLayoutVars>
      </dgm:prSet>
      <dgm:spPr>
        <a:prstGeom prst="leftArrow">
          <a:avLst/>
        </a:prstGeom>
      </dgm:spPr>
      <dgm:t>
        <a:bodyPr/>
        <a:lstStyle/>
        <a:p>
          <a:endParaRPr lang="es-ES"/>
        </a:p>
      </dgm:t>
    </dgm:pt>
    <dgm:pt modelId="{67DD576B-8418-478D-83C2-BBF552B9B11F}" type="pres">
      <dgm:prSet presAssocID="{FEEF5672-C94D-49B4-8124-19A531D3DED9}" presName="hierChild3" presStyleCnt="0"/>
      <dgm:spPr/>
    </dgm:pt>
    <dgm:pt modelId="{1EC5C730-8371-4BC0-8E81-934A23BF0619}" type="pres">
      <dgm:prSet presAssocID="{A54AF3D7-C6AE-4072-8AD1-0C8C2EF316A8}" presName="Name17" presStyleLbl="parChTrans1D3" presStyleIdx="2" presStyleCnt="4" custSzX="525951" custSzY="220212"/>
      <dgm:spPr/>
      <dgm:t>
        <a:bodyPr/>
        <a:lstStyle/>
        <a:p>
          <a:endParaRPr lang="es-ES"/>
        </a:p>
      </dgm:t>
    </dgm:pt>
    <dgm:pt modelId="{764E396C-2249-4011-BBCE-D23335249E40}" type="pres">
      <dgm:prSet presAssocID="{604E0730-DB57-483B-ABFE-0C49493D886B}" presName="hierRoot3" presStyleCnt="0"/>
      <dgm:spPr/>
    </dgm:pt>
    <dgm:pt modelId="{568ED7E5-A087-4B57-9D46-A164FA42FE40}" type="pres">
      <dgm:prSet presAssocID="{604E0730-DB57-483B-ABFE-0C49493D886B}" presName="composite3" presStyleCnt="0"/>
      <dgm:spPr/>
    </dgm:pt>
    <dgm:pt modelId="{725FF059-367F-49D8-A60F-43A225EC752D}" type="pres">
      <dgm:prSet presAssocID="{604E0730-DB57-483B-ABFE-0C49493D886B}" presName="background3" presStyleLbl="node3" presStyleIdx="2" presStyleCnt="4"/>
      <dgm:spPr>
        <a:prstGeom prst="upArrowCallout">
          <a:avLst/>
        </a:prstGeom>
      </dgm:spPr>
    </dgm:pt>
    <dgm:pt modelId="{46CB0921-1296-4271-8FC8-545AF41DBD10}" type="pres">
      <dgm:prSet presAssocID="{604E0730-DB57-483B-ABFE-0C49493D886B}" presName="text3" presStyleLbl="fgAcc3" presStyleIdx="2" presStyleCnt="4" custScaleX="84951" custScaleY="72388" custLinFactNeighborX="79598" custLinFactNeighborY="1266">
        <dgm:presLayoutVars>
          <dgm:chPref val="3"/>
        </dgm:presLayoutVars>
      </dgm:prSet>
      <dgm:spPr>
        <a:prstGeom prst="upArrowCallout">
          <a:avLst/>
        </a:prstGeom>
      </dgm:spPr>
      <dgm:t>
        <a:bodyPr/>
        <a:lstStyle/>
        <a:p>
          <a:endParaRPr lang="es-ES"/>
        </a:p>
      </dgm:t>
    </dgm:pt>
    <dgm:pt modelId="{6EDB9F4C-D196-4DBD-A6CF-5D42B4AC579A}" type="pres">
      <dgm:prSet presAssocID="{604E0730-DB57-483B-ABFE-0C49493D886B}" presName="hierChild4" presStyleCnt="0"/>
      <dgm:spPr/>
    </dgm:pt>
    <dgm:pt modelId="{A74F0716-31EB-49B0-8FDD-7A8558ECE0F0}" type="pres">
      <dgm:prSet presAssocID="{4DA7D838-D724-4A6A-813E-976F26F26984}" presName="Name17" presStyleLbl="parChTrans1D3" presStyleIdx="3" presStyleCnt="4" custSzX="646878" custSzY="220212"/>
      <dgm:spPr/>
      <dgm:t>
        <a:bodyPr/>
        <a:lstStyle/>
        <a:p>
          <a:endParaRPr lang="es-ES"/>
        </a:p>
      </dgm:t>
    </dgm:pt>
    <dgm:pt modelId="{C938577C-A078-4F3A-9418-B15F6B3E7D00}" type="pres">
      <dgm:prSet presAssocID="{B7F27CF8-0890-4EFB-BCC3-397D0139B35F}" presName="hierRoot3" presStyleCnt="0"/>
      <dgm:spPr/>
    </dgm:pt>
    <dgm:pt modelId="{EF659832-A359-4655-B9F6-22050EA6DBBC}" type="pres">
      <dgm:prSet presAssocID="{B7F27CF8-0890-4EFB-BCC3-397D0139B35F}" presName="composite3" presStyleCnt="0"/>
      <dgm:spPr/>
    </dgm:pt>
    <dgm:pt modelId="{31253BED-DCB2-4D72-A34D-3451D450E180}" type="pres">
      <dgm:prSet presAssocID="{B7F27CF8-0890-4EFB-BCC3-397D0139B35F}" presName="background3" presStyleLbl="node3" presStyleIdx="3" presStyleCnt="4"/>
      <dgm:spPr>
        <a:prstGeom prst="upArrowCallout">
          <a:avLst/>
        </a:prstGeom>
      </dgm:spPr>
    </dgm:pt>
    <dgm:pt modelId="{22567759-D2B5-41E3-8902-61458479B040}" type="pres">
      <dgm:prSet presAssocID="{B7F27CF8-0890-4EFB-BCC3-397D0139B35F}" presName="text3" presStyleLbl="fgAcc3" presStyleIdx="3" presStyleCnt="4" custScaleX="84951" custScaleY="72388" custLinFactNeighborX="79598" custLinFactNeighborY="1266">
        <dgm:presLayoutVars>
          <dgm:chPref val="3"/>
        </dgm:presLayoutVars>
      </dgm:prSet>
      <dgm:spPr>
        <a:prstGeom prst="upArrowCallout">
          <a:avLst/>
        </a:prstGeom>
      </dgm:spPr>
      <dgm:t>
        <a:bodyPr/>
        <a:lstStyle/>
        <a:p>
          <a:endParaRPr lang="es-ES"/>
        </a:p>
      </dgm:t>
    </dgm:pt>
    <dgm:pt modelId="{B62DC109-FA88-4E01-B432-D76F03B6B5FA}" type="pres">
      <dgm:prSet presAssocID="{B7F27CF8-0890-4EFB-BCC3-397D0139B35F}" presName="hierChild4" presStyleCnt="0"/>
      <dgm:spPr/>
    </dgm:pt>
  </dgm:ptLst>
  <dgm:cxnLst>
    <dgm:cxn modelId="{CB87DB3C-E407-4C79-8D50-AB7B53F444ED}" srcId="{FEEF5672-C94D-49B4-8124-19A531D3DED9}" destId="{B7F27CF8-0890-4EFB-BCC3-397D0139B35F}" srcOrd="1" destOrd="0" parTransId="{4DA7D838-D724-4A6A-813E-976F26F26984}" sibTransId="{48F2E6E1-44BE-4DB4-A967-FC45B5598F05}"/>
    <dgm:cxn modelId="{B385CDD7-0565-4E43-8884-C2F3A715B9F9}" type="presOf" srcId="{A54AF3D7-C6AE-4072-8AD1-0C8C2EF316A8}" destId="{1EC5C730-8371-4BC0-8E81-934A23BF0619}" srcOrd="0" destOrd="0" presId="urn:microsoft.com/office/officeart/2005/8/layout/hierarchy1"/>
    <dgm:cxn modelId="{D96C3865-97F5-487F-88DF-7B4C995F9FA9}" srcId="{FEEF5672-C94D-49B4-8124-19A531D3DED9}" destId="{604E0730-DB57-483B-ABFE-0C49493D886B}" srcOrd="0" destOrd="0" parTransId="{A54AF3D7-C6AE-4072-8AD1-0C8C2EF316A8}" sibTransId="{3F394629-497A-42A1-B9C1-016A8B8282EA}"/>
    <dgm:cxn modelId="{C56B0ABE-B5EC-48C9-B597-36803DAEC6FF}" srcId="{D50A2EF3-1CC8-4DB4-93D2-DA0D5A6CF890}" destId="{BC973BA9-2D6A-465D-8027-449A38EFA3E8}" srcOrd="0" destOrd="0" parTransId="{B64B8D22-24F6-4F48-9600-82C8D8AC1896}" sibTransId="{C5313265-E601-43C5-9708-949A6168B1C7}"/>
    <dgm:cxn modelId="{17AD7CD4-31F1-4784-8D2F-76DB0B82A12D}" type="presOf" srcId="{B7F27CF8-0890-4EFB-BCC3-397D0139B35F}" destId="{22567759-D2B5-41E3-8902-61458479B040}" srcOrd="0" destOrd="0" presId="urn:microsoft.com/office/officeart/2005/8/layout/hierarchy1"/>
    <dgm:cxn modelId="{28251013-52CD-4019-B4D3-4B27791A273F}" type="presOf" srcId="{8D536C16-9A36-4222-A67B-441B2EF79AE7}" destId="{ED507A79-B504-428C-9643-2916F0629B92}" srcOrd="0" destOrd="0" presId="urn:microsoft.com/office/officeart/2005/8/layout/hierarchy1"/>
    <dgm:cxn modelId="{CE44590B-CF5D-4042-8244-B95FEAF5AA93}" type="presOf" srcId="{E091BC18-74F0-42CB-8350-D06CCC4324C7}" destId="{135B0B59-52E4-45B7-8C8B-E3247E215FF1}" srcOrd="0" destOrd="0" presId="urn:microsoft.com/office/officeart/2005/8/layout/hierarchy1"/>
    <dgm:cxn modelId="{F262D140-6837-429D-905D-5AD01AE59688}" type="presOf" srcId="{4DA7D838-D724-4A6A-813E-976F26F26984}" destId="{A74F0716-31EB-49B0-8FDD-7A8558ECE0F0}" srcOrd="0" destOrd="0" presId="urn:microsoft.com/office/officeart/2005/8/layout/hierarchy1"/>
    <dgm:cxn modelId="{35E735E2-EEE3-4AA9-9095-3C9AAB9C2C4E}" srcId="{8D536C16-9A36-4222-A67B-441B2EF79AE7}" destId="{D50A2EF3-1CC8-4DB4-93D2-DA0D5A6CF890}" srcOrd="0" destOrd="0" parTransId="{790070C2-8B23-4911-948A-88387E77D2DE}" sibTransId="{3B6E94C1-BDA8-4E7B-843D-CF762F7F7952}"/>
    <dgm:cxn modelId="{CF051AA5-4F70-4CA5-93B7-6D8BDF547660}" srcId="{BC973BA9-2D6A-465D-8027-449A38EFA3E8}" destId="{6760FD49-6534-40C1-8BE2-3EA6C1F2D61B}" srcOrd="1" destOrd="0" parTransId="{4C76FF7D-5C4A-428F-8976-99A7CB192302}" sibTransId="{67BBEFCE-AF2E-4B57-9FE5-B7E21BFB487B}"/>
    <dgm:cxn modelId="{1B835E85-B9BD-4810-8553-155BA3889C46}" type="presOf" srcId="{FEEF5672-C94D-49B4-8124-19A531D3DED9}" destId="{09DC10EF-D0ED-423B-9F6F-4393AD166F3D}" srcOrd="0" destOrd="0" presId="urn:microsoft.com/office/officeart/2005/8/layout/hierarchy1"/>
    <dgm:cxn modelId="{3E55977B-2D0E-46A6-A18B-CC5EF7D5C721}" srcId="{D50A2EF3-1CC8-4DB4-93D2-DA0D5A6CF890}" destId="{FEEF5672-C94D-49B4-8124-19A531D3DED9}" srcOrd="1" destOrd="0" parTransId="{2FE5ACD6-E116-425B-943C-7E5C05ABBF94}" sibTransId="{D8893EAD-BF8F-4816-B476-172B87EE7B3D}"/>
    <dgm:cxn modelId="{B3FE8E28-3A1F-403B-B968-83D381386C1E}" type="presOf" srcId="{6760FD49-6534-40C1-8BE2-3EA6C1F2D61B}" destId="{68EAA40E-6828-498F-91D6-9FB9CEBEA7D7}" srcOrd="0" destOrd="0" presId="urn:microsoft.com/office/officeart/2005/8/layout/hierarchy1"/>
    <dgm:cxn modelId="{964ADA84-E406-4EF5-A520-C586FF25569C}" type="presOf" srcId="{548D7D30-2A0E-4ABB-9BA8-9E2537E14FA9}" destId="{446156A5-DB3C-406E-82E1-0B876E41CD03}" srcOrd="0" destOrd="0" presId="urn:microsoft.com/office/officeart/2005/8/layout/hierarchy1"/>
    <dgm:cxn modelId="{2D5DFB90-6CD4-4F84-B25A-E4E45301A844}" type="presOf" srcId="{B64B8D22-24F6-4F48-9600-82C8D8AC1896}" destId="{961CF9D9-D443-4C08-A09E-42D2E1D2BE6C}" srcOrd="0" destOrd="0" presId="urn:microsoft.com/office/officeart/2005/8/layout/hierarchy1"/>
    <dgm:cxn modelId="{7265ADB7-FEBD-4D7D-9A52-AF959449E9E6}" type="presOf" srcId="{2FE5ACD6-E116-425B-943C-7E5C05ABBF94}" destId="{ECAB0918-CBDF-46C8-86B6-EC93E56B65E9}" srcOrd="0" destOrd="0" presId="urn:microsoft.com/office/officeart/2005/8/layout/hierarchy1"/>
    <dgm:cxn modelId="{C8E2EA99-A1B8-4B3D-9749-B830092D531E}" type="presOf" srcId="{4C76FF7D-5C4A-428F-8976-99A7CB192302}" destId="{34DA3FE4-E416-4154-AEA0-11CF09214110}" srcOrd="0" destOrd="0" presId="urn:microsoft.com/office/officeart/2005/8/layout/hierarchy1"/>
    <dgm:cxn modelId="{D89C0039-124A-4A32-B3B9-92607E173B7B}" type="presOf" srcId="{D50A2EF3-1CC8-4DB4-93D2-DA0D5A6CF890}" destId="{37A55FD4-F93B-48B0-979A-70A2CF84AE6E}" srcOrd="0" destOrd="0" presId="urn:microsoft.com/office/officeart/2005/8/layout/hierarchy1"/>
    <dgm:cxn modelId="{F0ACE113-F7F4-4E3F-AAA8-C3B156FE1F1A}" type="presOf" srcId="{BC973BA9-2D6A-465D-8027-449A38EFA3E8}" destId="{A2C1C95E-CC97-4F97-B8EB-230D62F30226}" srcOrd="0" destOrd="0" presId="urn:microsoft.com/office/officeart/2005/8/layout/hierarchy1"/>
    <dgm:cxn modelId="{99E2E031-3DFE-4054-846A-0C133267B732}" type="presOf" srcId="{604E0730-DB57-483B-ABFE-0C49493D886B}" destId="{46CB0921-1296-4271-8FC8-545AF41DBD10}" srcOrd="0" destOrd="0" presId="urn:microsoft.com/office/officeart/2005/8/layout/hierarchy1"/>
    <dgm:cxn modelId="{43E79B29-6AD5-4BC6-8640-4391ACF3DF58}" srcId="{BC973BA9-2D6A-465D-8027-449A38EFA3E8}" destId="{E091BC18-74F0-42CB-8350-D06CCC4324C7}" srcOrd="0" destOrd="0" parTransId="{548D7D30-2A0E-4ABB-9BA8-9E2537E14FA9}" sibTransId="{E51A5055-1F2F-43A4-9029-C2BB583E9E98}"/>
    <dgm:cxn modelId="{65E754AA-06CC-48DA-A306-7F292D91ACE6}" type="presParOf" srcId="{ED507A79-B504-428C-9643-2916F0629B92}" destId="{ECB75368-C467-4169-B99B-339864889110}" srcOrd="0" destOrd="0" presId="urn:microsoft.com/office/officeart/2005/8/layout/hierarchy1"/>
    <dgm:cxn modelId="{7404AF16-52E5-45E4-BACA-4E7D1C9CBAF9}" type="presParOf" srcId="{ECB75368-C467-4169-B99B-339864889110}" destId="{217FA83F-A2A5-45D7-9DCA-D54C0988AC25}" srcOrd="0" destOrd="0" presId="urn:microsoft.com/office/officeart/2005/8/layout/hierarchy1"/>
    <dgm:cxn modelId="{076F5EDD-13EF-4467-A237-7FE629217833}" type="presParOf" srcId="{217FA83F-A2A5-45D7-9DCA-D54C0988AC25}" destId="{50668A25-8223-4AA6-A3D2-2602F32EE32F}" srcOrd="0" destOrd="0" presId="urn:microsoft.com/office/officeart/2005/8/layout/hierarchy1"/>
    <dgm:cxn modelId="{B9ABB5FD-7ACA-4205-9AC0-3BFAFAF8A86A}" type="presParOf" srcId="{217FA83F-A2A5-45D7-9DCA-D54C0988AC25}" destId="{37A55FD4-F93B-48B0-979A-70A2CF84AE6E}" srcOrd="1" destOrd="0" presId="urn:microsoft.com/office/officeart/2005/8/layout/hierarchy1"/>
    <dgm:cxn modelId="{4054AEA7-32FD-44BE-A9B7-A80C2B2FB6C3}" type="presParOf" srcId="{ECB75368-C467-4169-B99B-339864889110}" destId="{F34C623D-2AE1-49BF-AA4F-37DA4B915770}" srcOrd="1" destOrd="0" presId="urn:microsoft.com/office/officeart/2005/8/layout/hierarchy1"/>
    <dgm:cxn modelId="{DCD71AA2-6EFA-4291-8C56-2A7856F0076F}" type="presParOf" srcId="{F34C623D-2AE1-49BF-AA4F-37DA4B915770}" destId="{961CF9D9-D443-4C08-A09E-42D2E1D2BE6C}" srcOrd="0" destOrd="0" presId="urn:microsoft.com/office/officeart/2005/8/layout/hierarchy1"/>
    <dgm:cxn modelId="{BCFEC922-EC7D-40B5-944C-415731B51F62}" type="presParOf" srcId="{F34C623D-2AE1-49BF-AA4F-37DA4B915770}" destId="{2DD935FD-14E0-4F4D-925F-E8242C2967F1}" srcOrd="1" destOrd="0" presId="urn:microsoft.com/office/officeart/2005/8/layout/hierarchy1"/>
    <dgm:cxn modelId="{181B465E-FE52-4CEE-BECA-16DF60CFEECC}" type="presParOf" srcId="{2DD935FD-14E0-4F4D-925F-E8242C2967F1}" destId="{F53B5B74-07EE-4A90-BF38-78324D66EBE5}" srcOrd="0" destOrd="0" presId="urn:microsoft.com/office/officeart/2005/8/layout/hierarchy1"/>
    <dgm:cxn modelId="{19F1B5B0-B739-4128-AD35-C1E69E1EA062}" type="presParOf" srcId="{F53B5B74-07EE-4A90-BF38-78324D66EBE5}" destId="{F3EB4314-A224-49B2-9DD2-AE79A1FD0269}" srcOrd="0" destOrd="0" presId="urn:microsoft.com/office/officeart/2005/8/layout/hierarchy1"/>
    <dgm:cxn modelId="{CD37671C-AA0D-47F7-968D-926645380A38}" type="presParOf" srcId="{F53B5B74-07EE-4A90-BF38-78324D66EBE5}" destId="{A2C1C95E-CC97-4F97-B8EB-230D62F30226}" srcOrd="1" destOrd="0" presId="urn:microsoft.com/office/officeart/2005/8/layout/hierarchy1"/>
    <dgm:cxn modelId="{CFB53C5E-4F91-4FC7-81C0-A5A782642612}" type="presParOf" srcId="{2DD935FD-14E0-4F4D-925F-E8242C2967F1}" destId="{4A2A7C57-95C0-425B-AF69-974F6F8C5050}" srcOrd="1" destOrd="0" presId="urn:microsoft.com/office/officeart/2005/8/layout/hierarchy1"/>
    <dgm:cxn modelId="{D6801023-4651-4530-BAC7-5473023F23D6}" type="presParOf" srcId="{4A2A7C57-95C0-425B-AF69-974F6F8C5050}" destId="{446156A5-DB3C-406E-82E1-0B876E41CD03}" srcOrd="0" destOrd="0" presId="urn:microsoft.com/office/officeart/2005/8/layout/hierarchy1"/>
    <dgm:cxn modelId="{BC1B506B-FC45-4C85-90E1-0B3E804AE9D7}" type="presParOf" srcId="{4A2A7C57-95C0-425B-AF69-974F6F8C5050}" destId="{36FA5EB1-62DD-47E3-A16C-C5EB5B014974}" srcOrd="1" destOrd="0" presId="urn:microsoft.com/office/officeart/2005/8/layout/hierarchy1"/>
    <dgm:cxn modelId="{84012CF9-EF1A-4240-8E81-2FFD1D1BE369}" type="presParOf" srcId="{36FA5EB1-62DD-47E3-A16C-C5EB5B014974}" destId="{C43A8CE5-54D9-4EB5-8065-476F9626FEB0}" srcOrd="0" destOrd="0" presId="urn:microsoft.com/office/officeart/2005/8/layout/hierarchy1"/>
    <dgm:cxn modelId="{6888E96C-2F18-4FE7-A520-1A2799A22E1E}" type="presParOf" srcId="{C43A8CE5-54D9-4EB5-8065-476F9626FEB0}" destId="{380E2EAD-DF0D-4C0B-A878-84C292EE21FC}" srcOrd="0" destOrd="0" presId="urn:microsoft.com/office/officeart/2005/8/layout/hierarchy1"/>
    <dgm:cxn modelId="{CC27B1E0-5008-4A69-A9ED-8F6C1EE83943}" type="presParOf" srcId="{C43A8CE5-54D9-4EB5-8065-476F9626FEB0}" destId="{135B0B59-52E4-45B7-8C8B-E3247E215FF1}" srcOrd="1" destOrd="0" presId="urn:microsoft.com/office/officeart/2005/8/layout/hierarchy1"/>
    <dgm:cxn modelId="{1FA376AA-94D8-4EE7-9CA5-20823A434CB4}" type="presParOf" srcId="{36FA5EB1-62DD-47E3-A16C-C5EB5B014974}" destId="{31F47200-6EB5-4498-9698-2AF5F01DA67D}" srcOrd="1" destOrd="0" presId="urn:microsoft.com/office/officeart/2005/8/layout/hierarchy1"/>
    <dgm:cxn modelId="{B354547F-5568-4BDF-B768-17C90F43B867}" type="presParOf" srcId="{4A2A7C57-95C0-425B-AF69-974F6F8C5050}" destId="{34DA3FE4-E416-4154-AEA0-11CF09214110}" srcOrd="2" destOrd="0" presId="urn:microsoft.com/office/officeart/2005/8/layout/hierarchy1"/>
    <dgm:cxn modelId="{E70D80EF-41AF-44F3-8071-94F7BC13C9C3}" type="presParOf" srcId="{4A2A7C57-95C0-425B-AF69-974F6F8C5050}" destId="{48193D19-DBB5-4D98-8651-3C0884802510}" srcOrd="3" destOrd="0" presId="urn:microsoft.com/office/officeart/2005/8/layout/hierarchy1"/>
    <dgm:cxn modelId="{E9C0E375-A5CC-48FB-818A-B8967FCD22DF}" type="presParOf" srcId="{48193D19-DBB5-4D98-8651-3C0884802510}" destId="{5AE7363A-2086-49B6-8708-19D2A58560F3}" srcOrd="0" destOrd="0" presId="urn:microsoft.com/office/officeart/2005/8/layout/hierarchy1"/>
    <dgm:cxn modelId="{31258F94-C1DE-462A-AA96-9C45FA00C57F}" type="presParOf" srcId="{5AE7363A-2086-49B6-8708-19D2A58560F3}" destId="{CA3DA2A2-2DA2-417B-9CBB-8C22C4A75AAB}" srcOrd="0" destOrd="0" presId="urn:microsoft.com/office/officeart/2005/8/layout/hierarchy1"/>
    <dgm:cxn modelId="{05D7B195-C9FE-4932-B0B6-1923095E88D8}" type="presParOf" srcId="{5AE7363A-2086-49B6-8708-19D2A58560F3}" destId="{68EAA40E-6828-498F-91D6-9FB9CEBEA7D7}" srcOrd="1" destOrd="0" presId="urn:microsoft.com/office/officeart/2005/8/layout/hierarchy1"/>
    <dgm:cxn modelId="{6A5676A9-ADC2-4C12-BE7B-356C73709ACA}" type="presParOf" srcId="{48193D19-DBB5-4D98-8651-3C0884802510}" destId="{6AFA8E64-2578-4AB5-8BF1-E43F333F0386}" srcOrd="1" destOrd="0" presId="urn:microsoft.com/office/officeart/2005/8/layout/hierarchy1"/>
    <dgm:cxn modelId="{65D18940-016E-4533-A02B-56F6A8EEB103}" type="presParOf" srcId="{F34C623D-2AE1-49BF-AA4F-37DA4B915770}" destId="{ECAB0918-CBDF-46C8-86B6-EC93E56B65E9}" srcOrd="2" destOrd="0" presId="urn:microsoft.com/office/officeart/2005/8/layout/hierarchy1"/>
    <dgm:cxn modelId="{A0618879-7F8D-4FF2-B33E-D6C67AA2484B}" type="presParOf" srcId="{F34C623D-2AE1-49BF-AA4F-37DA4B915770}" destId="{5546ED08-B5AB-4D3E-B000-739BE5CC9003}" srcOrd="3" destOrd="0" presId="urn:microsoft.com/office/officeart/2005/8/layout/hierarchy1"/>
    <dgm:cxn modelId="{C0C78B60-5B57-49CF-A606-3554E2197CE4}" type="presParOf" srcId="{5546ED08-B5AB-4D3E-B000-739BE5CC9003}" destId="{810F9327-CECB-4478-BEFD-FE12EBD0A391}" srcOrd="0" destOrd="0" presId="urn:microsoft.com/office/officeart/2005/8/layout/hierarchy1"/>
    <dgm:cxn modelId="{DFBF0703-B6AA-4957-9841-B95AF719E6AB}" type="presParOf" srcId="{810F9327-CECB-4478-BEFD-FE12EBD0A391}" destId="{BC50D9F2-F793-45BA-BF7B-14686DE4928A}" srcOrd="0" destOrd="0" presId="urn:microsoft.com/office/officeart/2005/8/layout/hierarchy1"/>
    <dgm:cxn modelId="{2B626B58-8D08-4BAF-9852-26A2540243DF}" type="presParOf" srcId="{810F9327-CECB-4478-BEFD-FE12EBD0A391}" destId="{09DC10EF-D0ED-423B-9F6F-4393AD166F3D}" srcOrd="1" destOrd="0" presId="urn:microsoft.com/office/officeart/2005/8/layout/hierarchy1"/>
    <dgm:cxn modelId="{21D3CC25-BC1E-483B-A615-96C2153A4609}" type="presParOf" srcId="{5546ED08-B5AB-4D3E-B000-739BE5CC9003}" destId="{67DD576B-8418-478D-83C2-BBF552B9B11F}" srcOrd="1" destOrd="0" presId="urn:microsoft.com/office/officeart/2005/8/layout/hierarchy1"/>
    <dgm:cxn modelId="{F67D688D-143B-4B58-89DC-807A12CC8C82}" type="presParOf" srcId="{67DD576B-8418-478D-83C2-BBF552B9B11F}" destId="{1EC5C730-8371-4BC0-8E81-934A23BF0619}" srcOrd="0" destOrd="0" presId="urn:microsoft.com/office/officeart/2005/8/layout/hierarchy1"/>
    <dgm:cxn modelId="{55292D22-AD63-4462-AB6A-97FE786914BD}" type="presParOf" srcId="{67DD576B-8418-478D-83C2-BBF552B9B11F}" destId="{764E396C-2249-4011-BBCE-D23335249E40}" srcOrd="1" destOrd="0" presId="urn:microsoft.com/office/officeart/2005/8/layout/hierarchy1"/>
    <dgm:cxn modelId="{C75EECA7-5F2D-4345-A0BD-129605B20938}" type="presParOf" srcId="{764E396C-2249-4011-BBCE-D23335249E40}" destId="{568ED7E5-A087-4B57-9D46-A164FA42FE40}" srcOrd="0" destOrd="0" presId="urn:microsoft.com/office/officeart/2005/8/layout/hierarchy1"/>
    <dgm:cxn modelId="{C4799B65-7AD1-43B8-AA9B-DD9D5BD7FAF8}" type="presParOf" srcId="{568ED7E5-A087-4B57-9D46-A164FA42FE40}" destId="{725FF059-367F-49D8-A60F-43A225EC752D}" srcOrd="0" destOrd="0" presId="urn:microsoft.com/office/officeart/2005/8/layout/hierarchy1"/>
    <dgm:cxn modelId="{E1D5FA00-A49C-4C37-B37B-32AC4CD298A4}" type="presParOf" srcId="{568ED7E5-A087-4B57-9D46-A164FA42FE40}" destId="{46CB0921-1296-4271-8FC8-545AF41DBD10}" srcOrd="1" destOrd="0" presId="urn:microsoft.com/office/officeart/2005/8/layout/hierarchy1"/>
    <dgm:cxn modelId="{2AB2A006-A1B5-44F1-8995-8704FB679EDA}" type="presParOf" srcId="{764E396C-2249-4011-BBCE-D23335249E40}" destId="{6EDB9F4C-D196-4DBD-A6CF-5D42B4AC579A}" srcOrd="1" destOrd="0" presId="urn:microsoft.com/office/officeart/2005/8/layout/hierarchy1"/>
    <dgm:cxn modelId="{D7074CC7-CD3A-408C-A7BC-A6BCD11418F1}" type="presParOf" srcId="{67DD576B-8418-478D-83C2-BBF552B9B11F}" destId="{A74F0716-31EB-49B0-8FDD-7A8558ECE0F0}" srcOrd="2" destOrd="0" presId="urn:microsoft.com/office/officeart/2005/8/layout/hierarchy1"/>
    <dgm:cxn modelId="{D49543DF-9928-45CC-9BA0-5377978CA35D}" type="presParOf" srcId="{67DD576B-8418-478D-83C2-BBF552B9B11F}" destId="{C938577C-A078-4F3A-9418-B15F6B3E7D00}" srcOrd="3" destOrd="0" presId="urn:microsoft.com/office/officeart/2005/8/layout/hierarchy1"/>
    <dgm:cxn modelId="{01168DB4-DD80-4C92-9421-4A188CDAB592}" type="presParOf" srcId="{C938577C-A078-4F3A-9418-B15F6B3E7D00}" destId="{EF659832-A359-4655-B9F6-22050EA6DBBC}" srcOrd="0" destOrd="0" presId="urn:microsoft.com/office/officeart/2005/8/layout/hierarchy1"/>
    <dgm:cxn modelId="{FDCC77C2-3D25-4767-B395-AB93914F8E3C}" type="presParOf" srcId="{EF659832-A359-4655-B9F6-22050EA6DBBC}" destId="{31253BED-DCB2-4D72-A34D-3451D450E180}" srcOrd="0" destOrd="0" presId="urn:microsoft.com/office/officeart/2005/8/layout/hierarchy1"/>
    <dgm:cxn modelId="{A871EB35-4AA7-43CB-8188-52C76277E1DF}" type="presParOf" srcId="{EF659832-A359-4655-B9F6-22050EA6DBBC}" destId="{22567759-D2B5-41E3-8902-61458479B040}" srcOrd="1" destOrd="0" presId="urn:microsoft.com/office/officeart/2005/8/layout/hierarchy1"/>
    <dgm:cxn modelId="{AAEF8CA2-7886-4481-89C2-013A245268CF}" type="presParOf" srcId="{C938577C-A078-4F3A-9418-B15F6B3E7D00}" destId="{B62DC109-FA88-4E01-B432-D76F03B6B5FA}"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D9A6C0-994E-4A5C-9B00-5D876A58593C}" type="doc">
      <dgm:prSet loTypeId="urn:microsoft.com/office/officeart/2005/8/layout/gear1" loCatId="process" qsTypeId="urn:microsoft.com/office/officeart/2005/8/quickstyle/simple5" qsCatId="simple" csTypeId="urn:microsoft.com/office/officeart/2005/8/colors/accent1_2" csCatId="accent1" phldr="1"/>
      <dgm:spPr/>
      <dgm:t>
        <a:bodyPr/>
        <a:lstStyle/>
        <a:p>
          <a:endParaRPr lang="es-ES"/>
        </a:p>
      </dgm:t>
    </dgm:pt>
    <dgm:pt modelId="{1E7D76E9-23BE-45F8-BE62-77084603274F}">
      <dgm:prSet phldrT="[Texto]">
        <dgm:style>
          <a:lnRef idx="1">
            <a:schemeClr val="accent5"/>
          </a:lnRef>
          <a:fillRef idx="3">
            <a:schemeClr val="accent5"/>
          </a:fillRef>
          <a:effectRef idx="2">
            <a:schemeClr val="accent5"/>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s-ES"/>
            <a:t>PLAN DE MEJORA</a:t>
          </a:r>
        </a:p>
      </dgm:t>
    </dgm:pt>
    <dgm:pt modelId="{04DD947D-A9A2-4862-986F-56DED7E75013}" type="parTrans" cxnId="{5B32EFE2-AFAD-42E8-9A1D-F5C23C5EF994}">
      <dgm:prSet/>
      <dgm:spPr/>
      <dgm:t>
        <a:bodyPr/>
        <a:lstStyle/>
        <a:p>
          <a:endParaRPr lang="es-ES"/>
        </a:p>
      </dgm:t>
    </dgm:pt>
    <dgm:pt modelId="{4BAE4600-EFF5-49D7-8506-91A1A174676D}" type="sibTrans" cxnId="{5B32EFE2-AFAD-42E8-9A1D-F5C23C5EF994}">
      <dgm:prSet/>
      <dgm:spPr/>
      <dgm:t>
        <a:bodyPr/>
        <a:lstStyle/>
        <a:p>
          <a:endParaRPr lang="es-ES"/>
        </a:p>
      </dgm:t>
    </dgm:pt>
    <dgm:pt modelId="{0413FD7A-B69C-406E-9EB7-2ECC614DFC13}">
      <dgm:prSet phldrT="[Texto]">
        <dgm:style>
          <a:lnRef idx="1">
            <a:schemeClr val="accent5"/>
          </a:lnRef>
          <a:fillRef idx="3">
            <a:schemeClr val="accent5"/>
          </a:fillRef>
          <a:effectRef idx="2">
            <a:schemeClr val="accent5"/>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s-ES"/>
            <a:t>CRITERIOS DEL MARCO DE REFERENCIA</a:t>
          </a:r>
        </a:p>
      </dgm:t>
    </dgm:pt>
    <dgm:pt modelId="{CE2D1948-2B51-457D-B579-3202752CC0D7}" type="parTrans" cxnId="{88329A0A-9DB9-48AB-B91A-908C2F08581D}">
      <dgm:prSet/>
      <dgm:spPr/>
      <dgm:t>
        <a:bodyPr/>
        <a:lstStyle/>
        <a:p>
          <a:endParaRPr lang="es-ES"/>
        </a:p>
      </dgm:t>
    </dgm:pt>
    <dgm:pt modelId="{E16B6A1E-BE34-40F3-A10C-53AA53EF5EA5}" type="sibTrans" cxnId="{88329A0A-9DB9-48AB-B91A-908C2F08581D}">
      <dgm:prSet/>
      <dgm:spPr/>
      <dgm:t>
        <a:bodyPr/>
        <a:lstStyle/>
        <a:p>
          <a:endParaRPr lang="es-ES"/>
        </a:p>
      </dgm:t>
    </dgm:pt>
    <dgm:pt modelId="{9EF625C7-25DE-4817-A216-59A4832E1646}">
      <dgm:prSet phldrT="[Texto]">
        <dgm:style>
          <a:lnRef idx="1">
            <a:schemeClr val="accent5"/>
          </a:lnRef>
          <a:fillRef idx="3">
            <a:schemeClr val="accent5"/>
          </a:fillRef>
          <a:effectRef idx="2">
            <a:schemeClr val="accent5"/>
          </a:effectRef>
          <a:fontRef idx="minor">
            <a:schemeClr val="lt1"/>
          </a:fontRef>
        </dgm:style>
      </dgm:prSet>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s-ES"/>
            <a:t>AUTOEVALUACIÓN DEL PROGRAMA</a:t>
          </a:r>
        </a:p>
      </dgm:t>
    </dgm:pt>
    <dgm:pt modelId="{F59FF2EF-B5B4-4A4E-9072-31B5076309E8}" type="parTrans" cxnId="{6B5D854A-06B0-4DA3-91FF-ED24F6E4A448}">
      <dgm:prSet/>
      <dgm:spPr/>
      <dgm:t>
        <a:bodyPr/>
        <a:lstStyle/>
        <a:p>
          <a:endParaRPr lang="es-ES"/>
        </a:p>
      </dgm:t>
    </dgm:pt>
    <dgm:pt modelId="{9DC3858E-18F8-4D4E-9FEF-90C24A01E6A9}" type="sibTrans" cxnId="{6B5D854A-06B0-4DA3-91FF-ED24F6E4A448}">
      <dgm:prSet/>
      <dgm:spPr/>
      <dgm:t>
        <a:bodyPr/>
        <a:lstStyle/>
        <a:p>
          <a:endParaRPr lang="es-ES"/>
        </a:p>
      </dgm:t>
    </dgm:pt>
    <dgm:pt modelId="{6F239D69-2808-4FD6-81E0-C0C368E62A46}">
      <dgm:prSet custT="1">
        <dgm:style>
          <a:lnRef idx="1">
            <a:schemeClr val="accent5"/>
          </a:lnRef>
          <a:fillRef idx="2">
            <a:schemeClr val="accent5"/>
          </a:fillRef>
          <a:effectRef idx="1">
            <a:schemeClr val="accent5"/>
          </a:effectRef>
          <a:fontRef idx="minor">
            <a:schemeClr val="dk1"/>
          </a:fontRef>
        </dgm:style>
      </dgm:prSet>
      <dgm:spPr/>
      <dgm:t>
        <a:bodyPr/>
        <a:lstStyle/>
        <a:p>
          <a:r>
            <a:rPr lang="es-ES" sz="600"/>
            <a:t>facilitadores</a:t>
          </a:r>
        </a:p>
      </dgm:t>
    </dgm:pt>
    <dgm:pt modelId="{429A027B-2059-4218-B49A-53636584C1B2}" type="parTrans" cxnId="{23626933-D2C7-4ACC-9400-58F6D0D608E0}">
      <dgm:prSet/>
      <dgm:spPr/>
      <dgm:t>
        <a:bodyPr/>
        <a:lstStyle/>
        <a:p>
          <a:endParaRPr lang="es-ES"/>
        </a:p>
      </dgm:t>
    </dgm:pt>
    <dgm:pt modelId="{E0FDB100-96FA-4966-9BFA-CF5FBC7E34FA}" type="sibTrans" cxnId="{23626933-D2C7-4ACC-9400-58F6D0D608E0}">
      <dgm:prSet/>
      <dgm:spPr/>
      <dgm:t>
        <a:bodyPr/>
        <a:lstStyle/>
        <a:p>
          <a:endParaRPr lang="es-ES"/>
        </a:p>
      </dgm:t>
    </dgm:pt>
    <dgm:pt modelId="{030B3AF4-5616-4AB1-A36A-127B2458C8E7}">
      <dgm:prSet custScaleX="84762" custScaleY="37653" custLinFactY="-12944" custLinFactNeighborX="-82418" custLinFactNeighborY="-100000"/>
      <dgm:spPr>
        <a:prstGeom prst="flowChartTerminator">
          <a:avLst/>
        </a:prstGeom>
      </dgm:spPr>
      <dgm:t>
        <a:bodyPr/>
        <a:lstStyle/>
        <a:p>
          <a:endParaRPr lang="es-ES"/>
        </a:p>
      </dgm:t>
    </dgm:pt>
    <dgm:pt modelId="{FA17FFD8-81F8-4E42-8056-217CA2407029}" type="parTrans" cxnId="{5ADBD62C-D70F-4CF0-A1A6-5E29E9EE5015}">
      <dgm:prSet/>
      <dgm:spPr/>
      <dgm:t>
        <a:bodyPr/>
        <a:lstStyle/>
        <a:p>
          <a:endParaRPr lang="es-ES"/>
        </a:p>
      </dgm:t>
    </dgm:pt>
    <dgm:pt modelId="{CF10163B-C2E3-4918-ACD8-C4418D78654F}" type="sibTrans" cxnId="{5ADBD62C-D70F-4CF0-A1A6-5E29E9EE5015}">
      <dgm:prSet/>
      <dgm:spPr/>
      <dgm:t>
        <a:bodyPr/>
        <a:lstStyle/>
        <a:p>
          <a:endParaRPr lang="es-ES"/>
        </a:p>
      </dgm:t>
    </dgm:pt>
    <dgm:pt modelId="{03FEE223-1D47-4678-AFE4-758A23E95779}">
      <dgm:prSet custScaleX="84762" custScaleY="37653" custLinFactY="-12944" custLinFactNeighborX="-82418" custLinFactNeighborY="-100000"/>
      <dgm:spPr>
        <a:prstGeom prst="flowChartTerminator">
          <a:avLst/>
        </a:prstGeom>
      </dgm:spPr>
      <dgm:t>
        <a:bodyPr/>
        <a:lstStyle/>
        <a:p>
          <a:endParaRPr lang="es-ES"/>
        </a:p>
      </dgm:t>
    </dgm:pt>
    <dgm:pt modelId="{43933BF8-3A12-4B5E-B3FD-962CCC2660D3}" type="parTrans" cxnId="{14D5D4B2-4AD3-4292-BF9C-51552578CCB3}">
      <dgm:prSet/>
      <dgm:spPr/>
      <dgm:t>
        <a:bodyPr/>
        <a:lstStyle/>
        <a:p>
          <a:endParaRPr lang="es-ES"/>
        </a:p>
      </dgm:t>
    </dgm:pt>
    <dgm:pt modelId="{4B803967-0318-4C58-8E95-97E896D12FD2}" type="sibTrans" cxnId="{14D5D4B2-4AD3-4292-BF9C-51552578CCB3}">
      <dgm:prSet/>
      <dgm:spPr/>
      <dgm:t>
        <a:bodyPr/>
        <a:lstStyle/>
        <a:p>
          <a:endParaRPr lang="es-ES"/>
        </a:p>
      </dgm:t>
    </dgm:pt>
    <dgm:pt modelId="{661AAC83-AD1E-4733-B16B-8A3D16FDA498}">
      <dgm:prSet custScaleX="84762" custScaleY="37653" custLinFactY="-12944" custLinFactNeighborX="-82418" custLinFactNeighborY="-100000"/>
      <dgm:spPr>
        <a:prstGeom prst="flowChartTerminator">
          <a:avLst/>
        </a:prstGeom>
      </dgm:spPr>
      <dgm:t>
        <a:bodyPr/>
        <a:lstStyle/>
        <a:p>
          <a:endParaRPr lang="es-ES"/>
        </a:p>
      </dgm:t>
    </dgm:pt>
    <dgm:pt modelId="{3000E2DE-B4EF-4B09-827C-06D67DA83D9D}" type="parTrans" cxnId="{A1D5CDA2-8604-4EC4-B0E9-A07429A8B81B}">
      <dgm:prSet/>
      <dgm:spPr/>
      <dgm:t>
        <a:bodyPr/>
        <a:lstStyle/>
        <a:p>
          <a:endParaRPr lang="es-ES"/>
        </a:p>
      </dgm:t>
    </dgm:pt>
    <dgm:pt modelId="{A36DEEC7-BED9-4702-961F-B3EAFB6C09F5}" type="sibTrans" cxnId="{A1D5CDA2-8604-4EC4-B0E9-A07429A8B81B}">
      <dgm:prSet/>
      <dgm:spPr/>
      <dgm:t>
        <a:bodyPr/>
        <a:lstStyle/>
        <a:p>
          <a:endParaRPr lang="es-ES"/>
        </a:p>
      </dgm:t>
    </dgm:pt>
    <dgm:pt modelId="{E1C4C275-F230-49A7-94BA-96756253F6C3}">
      <dgm:prSet custT="1">
        <dgm:style>
          <a:lnRef idx="1">
            <a:schemeClr val="accent5"/>
          </a:lnRef>
          <a:fillRef idx="2">
            <a:schemeClr val="accent5"/>
          </a:fillRef>
          <a:effectRef idx="1">
            <a:schemeClr val="accent5"/>
          </a:effectRef>
          <a:fontRef idx="minor">
            <a:schemeClr val="dk1"/>
          </a:fontRef>
        </dgm:style>
      </dgm:prSet>
      <dgm:spPr/>
      <dgm:t>
        <a:bodyPr/>
        <a:lstStyle/>
        <a:p>
          <a:r>
            <a:rPr lang="es-ES" sz="600"/>
            <a:t>producción</a:t>
          </a:r>
        </a:p>
      </dgm:t>
    </dgm:pt>
    <dgm:pt modelId="{2086C6AF-41B7-405B-8D94-C016F42A8C07}" type="parTrans" cxnId="{B259224E-D6FD-4C29-A645-08D719E07379}">
      <dgm:prSet/>
      <dgm:spPr/>
      <dgm:t>
        <a:bodyPr/>
        <a:lstStyle/>
        <a:p>
          <a:endParaRPr lang="es-ES"/>
        </a:p>
      </dgm:t>
    </dgm:pt>
    <dgm:pt modelId="{B843C21F-5690-4DD7-8AC6-8C246D65AEF6}" type="sibTrans" cxnId="{B259224E-D6FD-4C29-A645-08D719E07379}">
      <dgm:prSet/>
      <dgm:spPr/>
      <dgm:t>
        <a:bodyPr/>
        <a:lstStyle/>
        <a:p>
          <a:endParaRPr lang="es-ES"/>
        </a:p>
      </dgm:t>
    </dgm:pt>
    <dgm:pt modelId="{8AEE8A57-8F13-48BD-A4C3-CA500371552A}" type="pres">
      <dgm:prSet presAssocID="{55D9A6C0-994E-4A5C-9B00-5D876A58593C}" presName="composite" presStyleCnt="0">
        <dgm:presLayoutVars>
          <dgm:chMax val="3"/>
          <dgm:animLvl val="lvl"/>
          <dgm:resizeHandles val="exact"/>
        </dgm:presLayoutVars>
      </dgm:prSet>
      <dgm:spPr/>
      <dgm:t>
        <a:bodyPr/>
        <a:lstStyle/>
        <a:p>
          <a:endParaRPr lang="es-ES"/>
        </a:p>
      </dgm:t>
    </dgm:pt>
    <dgm:pt modelId="{6495F53B-C434-4E33-AFF0-4F38FB01AA8B}" type="pres">
      <dgm:prSet presAssocID="{1E7D76E9-23BE-45F8-BE62-77084603274F}" presName="gear1" presStyleLbl="node1" presStyleIdx="0" presStyleCnt="3" custScaleX="82518" custScaleY="66666" custLinFactNeighborX="-2914" custLinFactNeighborY="-18065">
        <dgm:presLayoutVars>
          <dgm:chMax val="1"/>
          <dgm:bulletEnabled val="1"/>
        </dgm:presLayoutVars>
      </dgm:prSet>
      <dgm:spPr/>
      <dgm:t>
        <a:bodyPr/>
        <a:lstStyle/>
        <a:p>
          <a:endParaRPr lang="es-ES"/>
        </a:p>
      </dgm:t>
    </dgm:pt>
    <dgm:pt modelId="{346480C0-4BF4-4CE5-966A-DD84EDFFC85A}" type="pres">
      <dgm:prSet presAssocID="{1E7D76E9-23BE-45F8-BE62-77084603274F}" presName="gear1srcNode" presStyleLbl="node1" presStyleIdx="0" presStyleCnt="3"/>
      <dgm:spPr/>
      <dgm:t>
        <a:bodyPr/>
        <a:lstStyle/>
        <a:p>
          <a:endParaRPr lang="es-ES"/>
        </a:p>
      </dgm:t>
    </dgm:pt>
    <dgm:pt modelId="{913A9226-FA31-4677-AFB5-108469CA6838}" type="pres">
      <dgm:prSet presAssocID="{1E7D76E9-23BE-45F8-BE62-77084603274F}" presName="gear1dstNode" presStyleLbl="node1" presStyleIdx="0" presStyleCnt="3"/>
      <dgm:spPr/>
      <dgm:t>
        <a:bodyPr/>
        <a:lstStyle/>
        <a:p>
          <a:endParaRPr lang="es-ES"/>
        </a:p>
      </dgm:t>
    </dgm:pt>
    <dgm:pt modelId="{0F36F355-99C6-4BC8-B11B-B46E35A888FA}" type="pres">
      <dgm:prSet presAssocID="{0413FD7A-B69C-406E-9EB7-2ECC614DFC13}" presName="gear2" presStyleLbl="node1" presStyleIdx="1" presStyleCnt="3" custScaleX="124936" custLinFactNeighborX="-14423" custLinFactNeighborY="8814">
        <dgm:presLayoutVars>
          <dgm:chMax val="1"/>
          <dgm:bulletEnabled val="1"/>
        </dgm:presLayoutVars>
      </dgm:prSet>
      <dgm:spPr/>
      <dgm:t>
        <a:bodyPr/>
        <a:lstStyle/>
        <a:p>
          <a:endParaRPr lang="es-ES"/>
        </a:p>
      </dgm:t>
    </dgm:pt>
    <dgm:pt modelId="{16698B11-840C-4F05-9D57-620F965B98B9}" type="pres">
      <dgm:prSet presAssocID="{0413FD7A-B69C-406E-9EB7-2ECC614DFC13}" presName="gear2srcNode" presStyleLbl="node1" presStyleIdx="1" presStyleCnt="3"/>
      <dgm:spPr/>
      <dgm:t>
        <a:bodyPr/>
        <a:lstStyle/>
        <a:p>
          <a:endParaRPr lang="es-ES"/>
        </a:p>
      </dgm:t>
    </dgm:pt>
    <dgm:pt modelId="{93588930-9AFA-43ED-86BA-46B644A25605}" type="pres">
      <dgm:prSet presAssocID="{0413FD7A-B69C-406E-9EB7-2ECC614DFC13}" presName="gear2dstNode" presStyleLbl="node1" presStyleIdx="1" presStyleCnt="3"/>
      <dgm:spPr/>
      <dgm:t>
        <a:bodyPr/>
        <a:lstStyle/>
        <a:p>
          <a:endParaRPr lang="es-ES"/>
        </a:p>
      </dgm:t>
    </dgm:pt>
    <dgm:pt modelId="{CA607DD0-8670-4E61-B4B6-AC0AE93B12C2}" type="pres">
      <dgm:prSet presAssocID="{0413FD7A-B69C-406E-9EB7-2ECC614DFC13}" presName="gear2ch" presStyleLbl="fgAcc1" presStyleIdx="0" presStyleCnt="2" custScaleX="84762" custScaleY="37653" custLinFactNeighborX="-76924" custLinFactNeighborY="6104">
        <dgm:presLayoutVars>
          <dgm:chMax val="0"/>
          <dgm:bulletEnabled val="1"/>
        </dgm:presLayoutVars>
      </dgm:prSet>
      <dgm:spPr>
        <a:prstGeom prst="flowChartTerminator">
          <a:avLst/>
        </a:prstGeom>
      </dgm:spPr>
      <dgm:t>
        <a:bodyPr/>
        <a:lstStyle/>
        <a:p>
          <a:endParaRPr lang="es-ES"/>
        </a:p>
      </dgm:t>
    </dgm:pt>
    <dgm:pt modelId="{76C6E94D-8BEA-4563-8A71-4A74A276F18C}" type="pres">
      <dgm:prSet presAssocID="{9EF625C7-25DE-4817-A216-59A4832E1646}" presName="gear3" presStyleLbl="node1" presStyleIdx="2" presStyleCnt="3" custScaleX="125421" custLinFactNeighborY="-3302"/>
      <dgm:spPr/>
      <dgm:t>
        <a:bodyPr/>
        <a:lstStyle/>
        <a:p>
          <a:endParaRPr lang="es-ES"/>
        </a:p>
      </dgm:t>
    </dgm:pt>
    <dgm:pt modelId="{AA1D6240-D8C4-4354-B5C9-E7B330769D7D}" type="pres">
      <dgm:prSet presAssocID="{9EF625C7-25DE-4817-A216-59A4832E1646}" presName="gear3tx" presStyleLbl="node1" presStyleIdx="2" presStyleCnt="3">
        <dgm:presLayoutVars>
          <dgm:chMax val="1"/>
          <dgm:bulletEnabled val="1"/>
        </dgm:presLayoutVars>
      </dgm:prSet>
      <dgm:spPr/>
      <dgm:t>
        <a:bodyPr/>
        <a:lstStyle/>
        <a:p>
          <a:endParaRPr lang="es-ES"/>
        </a:p>
      </dgm:t>
    </dgm:pt>
    <dgm:pt modelId="{5A686822-EF06-4787-B24B-659D0A933918}" type="pres">
      <dgm:prSet presAssocID="{9EF625C7-25DE-4817-A216-59A4832E1646}" presName="gear3srcNode" presStyleLbl="node1" presStyleIdx="2" presStyleCnt="3"/>
      <dgm:spPr/>
      <dgm:t>
        <a:bodyPr/>
        <a:lstStyle/>
        <a:p>
          <a:endParaRPr lang="es-ES"/>
        </a:p>
      </dgm:t>
    </dgm:pt>
    <dgm:pt modelId="{7E17CE1B-F66F-4C23-9F00-AAE66989331E}" type="pres">
      <dgm:prSet presAssocID="{9EF625C7-25DE-4817-A216-59A4832E1646}" presName="gear3dstNode" presStyleLbl="node1" presStyleIdx="2" presStyleCnt="3"/>
      <dgm:spPr/>
      <dgm:t>
        <a:bodyPr/>
        <a:lstStyle/>
        <a:p>
          <a:endParaRPr lang="es-ES"/>
        </a:p>
      </dgm:t>
    </dgm:pt>
    <dgm:pt modelId="{CBB41291-D9B0-4389-9368-F7E668947A24}" type="pres">
      <dgm:prSet presAssocID="{9EF625C7-25DE-4817-A216-59A4832E1646}" presName="gear3ch" presStyleLbl="fgAcc1" presStyleIdx="1" presStyleCnt="2" custScaleX="78023" custScaleY="38872" custLinFactX="-100000" custLinFactY="100000" custLinFactNeighborX="-102381" custLinFactNeighborY="173199">
        <dgm:presLayoutVars>
          <dgm:chMax val="0"/>
          <dgm:bulletEnabled val="1"/>
        </dgm:presLayoutVars>
      </dgm:prSet>
      <dgm:spPr>
        <a:prstGeom prst="flowChartTerminator">
          <a:avLst/>
        </a:prstGeom>
      </dgm:spPr>
      <dgm:t>
        <a:bodyPr/>
        <a:lstStyle/>
        <a:p>
          <a:endParaRPr lang="es-ES"/>
        </a:p>
      </dgm:t>
    </dgm:pt>
    <dgm:pt modelId="{9D820192-BD0A-413A-8856-389AFE31A638}" type="pres">
      <dgm:prSet presAssocID="{4BAE4600-EFF5-49D7-8506-91A1A174676D}" presName="connector1" presStyleLbl="sibTrans2D1" presStyleIdx="0" presStyleCnt="3" custScaleX="88676" custScaleY="56254" custLinFactNeighborX="8650" custLinFactNeighborY="-16845"/>
      <dgm:spPr/>
      <dgm:t>
        <a:bodyPr/>
        <a:lstStyle/>
        <a:p>
          <a:endParaRPr lang="es-ES"/>
        </a:p>
      </dgm:t>
    </dgm:pt>
    <dgm:pt modelId="{F35D4C20-219B-48BE-98DC-BAFB0F40C4E1}" type="pres">
      <dgm:prSet presAssocID="{E16B6A1E-BE34-40F3-A10C-53AA53EF5EA5}" presName="connector2" presStyleLbl="sibTrans2D1" presStyleIdx="1" presStyleCnt="3" custScaleX="154615" custLinFactNeighborX="-72686" custLinFactNeighborY="11283"/>
      <dgm:spPr/>
      <dgm:t>
        <a:bodyPr/>
        <a:lstStyle/>
        <a:p>
          <a:endParaRPr lang="es-ES"/>
        </a:p>
      </dgm:t>
    </dgm:pt>
    <dgm:pt modelId="{9630544C-708F-413D-A89C-FEA955D84F36}" type="pres">
      <dgm:prSet presAssocID="{9DC3858E-18F8-4D4E-9FEF-90C24A01E6A9}" presName="connector3" presStyleLbl="sibTrans2D1" presStyleIdx="2" presStyleCnt="3" custScaleX="149558" custScaleY="94674" custLinFactNeighborX="8716" custLinFactNeighborY="5811"/>
      <dgm:spPr/>
      <dgm:t>
        <a:bodyPr/>
        <a:lstStyle/>
        <a:p>
          <a:endParaRPr lang="es-ES"/>
        </a:p>
      </dgm:t>
    </dgm:pt>
  </dgm:ptLst>
  <dgm:cxnLst>
    <dgm:cxn modelId="{36534AFC-E737-47EB-A76C-10CE62D725B3}" type="presOf" srcId="{1E7D76E9-23BE-45F8-BE62-77084603274F}" destId="{913A9226-FA31-4677-AFB5-108469CA6838}" srcOrd="2" destOrd="0" presId="urn:microsoft.com/office/officeart/2005/8/layout/gear1"/>
    <dgm:cxn modelId="{A1D5CDA2-8604-4EC4-B0E9-A07429A8B81B}" srcId="{55D9A6C0-994E-4A5C-9B00-5D876A58593C}" destId="{661AAC83-AD1E-4733-B16B-8A3D16FDA498}" srcOrd="5" destOrd="0" parTransId="{3000E2DE-B4EF-4B09-827C-06D67DA83D9D}" sibTransId="{A36DEEC7-BED9-4702-961F-B3EAFB6C09F5}"/>
    <dgm:cxn modelId="{D0BFEA00-9AD4-45C7-9D9A-C38F6D985C72}" type="presOf" srcId="{6F239D69-2808-4FD6-81E0-C0C368E62A46}" destId="{CA607DD0-8670-4E61-B4B6-AC0AE93B12C2}" srcOrd="0" destOrd="0" presId="urn:microsoft.com/office/officeart/2005/8/layout/gear1"/>
    <dgm:cxn modelId="{E9ECE638-AD5B-4153-8FA2-D789777E73E4}" type="presOf" srcId="{9EF625C7-25DE-4817-A216-59A4832E1646}" destId="{7E17CE1B-F66F-4C23-9F00-AAE66989331E}" srcOrd="3" destOrd="0" presId="urn:microsoft.com/office/officeart/2005/8/layout/gear1"/>
    <dgm:cxn modelId="{C5CA8B18-1819-400F-B620-815C7BD94759}" type="presOf" srcId="{9EF625C7-25DE-4817-A216-59A4832E1646}" destId="{AA1D6240-D8C4-4354-B5C9-E7B330769D7D}" srcOrd="1" destOrd="0" presId="urn:microsoft.com/office/officeart/2005/8/layout/gear1"/>
    <dgm:cxn modelId="{3332A954-11EC-4723-96B5-3F39575A3317}" type="presOf" srcId="{55D9A6C0-994E-4A5C-9B00-5D876A58593C}" destId="{8AEE8A57-8F13-48BD-A4C3-CA500371552A}" srcOrd="0" destOrd="0" presId="urn:microsoft.com/office/officeart/2005/8/layout/gear1"/>
    <dgm:cxn modelId="{6B5D854A-06B0-4DA3-91FF-ED24F6E4A448}" srcId="{55D9A6C0-994E-4A5C-9B00-5D876A58593C}" destId="{9EF625C7-25DE-4817-A216-59A4832E1646}" srcOrd="2" destOrd="0" parTransId="{F59FF2EF-B5B4-4A4E-9072-31B5076309E8}" sibTransId="{9DC3858E-18F8-4D4E-9FEF-90C24A01E6A9}"/>
    <dgm:cxn modelId="{14D5D4B2-4AD3-4292-BF9C-51552578CCB3}" srcId="{55D9A6C0-994E-4A5C-9B00-5D876A58593C}" destId="{03FEE223-1D47-4678-AFE4-758A23E95779}" srcOrd="4" destOrd="0" parTransId="{43933BF8-3A12-4B5E-B3FD-962CCC2660D3}" sibTransId="{4B803967-0318-4C58-8E95-97E896D12FD2}"/>
    <dgm:cxn modelId="{996F4927-9847-4624-BC05-2CAE36BEEA90}" type="presOf" srcId="{E16B6A1E-BE34-40F3-A10C-53AA53EF5EA5}" destId="{F35D4C20-219B-48BE-98DC-BAFB0F40C4E1}" srcOrd="0" destOrd="0" presId="urn:microsoft.com/office/officeart/2005/8/layout/gear1"/>
    <dgm:cxn modelId="{8C427BAC-4052-4D82-997F-F62A17EDCF56}" type="presOf" srcId="{0413FD7A-B69C-406E-9EB7-2ECC614DFC13}" destId="{93588930-9AFA-43ED-86BA-46B644A25605}" srcOrd="2" destOrd="0" presId="urn:microsoft.com/office/officeart/2005/8/layout/gear1"/>
    <dgm:cxn modelId="{B259224E-D6FD-4C29-A645-08D719E07379}" srcId="{9EF625C7-25DE-4817-A216-59A4832E1646}" destId="{E1C4C275-F230-49A7-94BA-96756253F6C3}" srcOrd="0" destOrd="0" parTransId="{2086C6AF-41B7-405B-8D94-C016F42A8C07}" sibTransId="{B843C21F-5690-4DD7-8AC6-8C246D65AEF6}"/>
    <dgm:cxn modelId="{D07C8348-EB77-4361-AEE9-0B1BD68267C9}" type="presOf" srcId="{0413FD7A-B69C-406E-9EB7-2ECC614DFC13}" destId="{0F36F355-99C6-4BC8-B11B-B46E35A888FA}" srcOrd="0" destOrd="0" presId="urn:microsoft.com/office/officeart/2005/8/layout/gear1"/>
    <dgm:cxn modelId="{88329A0A-9DB9-48AB-B91A-908C2F08581D}" srcId="{55D9A6C0-994E-4A5C-9B00-5D876A58593C}" destId="{0413FD7A-B69C-406E-9EB7-2ECC614DFC13}" srcOrd="1" destOrd="0" parTransId="{CE2D1948-2B51-457D-B579-3202752CC0D7}" sibTransId="{E16B6A1E-BE34-40F3-A10C-53AA53EF5EA5}"/>
    <dgm:cxn modelId="{9246CEA1-5E08-45D1-A7EA-1C9C28D29A9B}" type="presOf" srcId="{E1C4C275-F230-49A7-94BA-96756253F6C3}" destId="{CBB41291-D9B0-4389-9368-F7E668947A24}" srcOrd="0" destOrd="0" presId="urn:microsoft.com/office/officeart/2005/8/layout/gear1"/>
    <dgm:cxn modelId="{71B91D9F-A8A1-4D5D-A532-3A3E499413F1}" type="presOf" srcId="{0413FD7A-B69C-406E-9EB7-2ECC614DFC13}" destId="{16698B11-840C-4F05-9D57-620F965B98B9}" srcOrd="1" destOrd="0" presId="urn:microsoft.com/office/officeart/2005/8/layout/gear1"/>
    <dgm:cxn modelId="{30C00E67-B7B0-4764-B244-855805C92684}" type="presOf" srcId="{1E7D76E9-23BE-45F8-BE62-77084603274F}" destId="{6495F53B-C434-4E33-AFF0-4F38FB01AA8B}" srcOrd="0" destOrd="0" presId="urn:microsoft.com/office/officeart/2005/8/layout/gear1"/>
    <dgm:cxn modelId="{5ADBD62C-D70F-4CF0-A1A6-5E29E9EE5015}" srcId="{55D9A6C0-994E-4A5C-9B00-5D876A58593C}" destId="{030B3AF4-5616-4AB1-A36A-127B2458C8E7}" srcOrd="3" destOrd="0" parTransId="{FA17FFD8-81F8-4E42-8056-217CA2407029}" sibTransId="{CF10163B-C2E3-4918-ACD8-C4418D78654F}"/>
    <dgm:cxn modelId="{41AB41A8-1265-4F63-AF2B-24005E09B0B1}" type="presOf" srcId="{9EF625C7-25DE-4817-A216-59A4832E1646}" destId="{76C6E94D-8BEA-4563-8A71-4A74A276F18C}" srcOrd="0" destOrd="0" presId="urn:microsoft.com/office/officeart/2005/8/layout/gear1"/>
    <dgm:cxn modelId="{C25E94D5-7AF7-4793-8A5F-E81652DC5EE6}" type="presOf" srcId="{9EF625C7-25DE-4817-A216-59A4832E1646}" destId="{5A686822-EF06-4787-B24B-659D0A933918}" srcOrd="2" destOrd="0" presId="urn:microsoft.com/office/officeart/2005/8/layout/gear1"/>
    <dgm:cxn modelId="{5B32EFE2-AFAD-42E8-9A1D-F5C23C5EF994}" srcId="{55D9A6C0-994E-4A5C-9B00-5D876A58593C}" destId="{1E7D76E9-23BE-45F8-BE62-77084603274F}" srcOrd="0" destOrd="0" parTransId="{04DD947D-A9A2-4862-986F-56DED7E75013}" sibTransId="{4BAE4600-EFF5-49D7-8506-91A1A174676D}"/>
    <dgm:cxn modelId="{77BD1A47-5B80-4DD7-90C3-E7C5DD73FCFF}" type="presOf" srcId="{4BAE4600-EFF5-49D7-8506-91A1A174676D}" destId="{9D820192-BD0A-413A-8856-389AFE31A638}" srcOrd="0" destOrd="0" presId="urn:microsoft.com/office/officeart/2005/8/layout/gear1"/>
    <dgm:cxn modelId="{23626933-D2C7-4ACC-9400-58F6D0D608E0}" srcId="{0413FD7A-B69C-406E-9EB7-2ECC614DFC13}" destId="{6F239D69-2808-4FD6-81E0-C0C368E62A46}" srcOrd="0" destOrd="0" parTransId="{429A027B-2059-4218-B49A-53636584C1B2}" sibTransId="{E0FDB100-96FA-4966-9BFA-CF5FBC7E34FA}"/>
    <dgm:cxn modelId="{C289EC60-C43D-4ED1-999A-53D2228F6206}" type="presOf" srcId="{9DC3858E-18F8-4D4E-9FEF-90C24A01E6A9}" destId="{9630544C-708F-413D-A89C-FEA955D84F36}" srcOrd="0" destOrd="0" presId="urn:microsoft.com/office/officeart/2005/8/layout/gear1"/>
    <dgm:cxn modelId="{B695728C-035C-4934-AA11-0550B0EF3316}" type="presOf" srcId="{1E7D76E9-23BE-45F8-BE62-77084603274F}" destId="{346480C0-4BF4-4CE5-966A-DD84EDFFC85A}" srcOrd="1" destOrd="0" presId="urn:microsoft.com/office/officeart/2005/8/layout/gear1"/>
    <dgm:cxn modelId="{CD461B53-3DBB-4075-8536-24C409B86476}" type="presParOf" srcId="{8AEE8A57-8F13-48BD-A4C3-CA500371552A}" destId="{6495F53B-C434-4E33-AFF0-4F38FB01AA8B}" srcOrd="0" destOrd="0" presId="urn:microsoft.com/office/officeart/2005/8/layout/gear1"/>
    <dgm:cxn modelId="{B5297E3F-69B8-4768-A8F2-F43812981C33}" type="presParOf" srcId="{8AEE8A57-8F13-48BD-A4C3-CA500371552A}" destId="{346480C0-4BF4-4CE5-966A-DD84EDFFC85A}" srcOrd="1" destOrd="0" presId="urn:microsoft.com/office/officeart/2005/8/layout/gear1"/>
    <dgm:cxn modelId="{8A4DBEFA-1B41-4516-970D-F8458AA52F37}" type="presParOf" srcId="{8AEE8A57-8F13-48BD-A4C3-CA500371552A}" destId="{913A9226-FA31-4677-AFB5-108469CA6838}" srcOrd="2" destOrd="0" presId="urn:microsoft.com/office/officeart/2005/8/layout/gear1"/>
    <dgm:cxn modelId="{163489A5-180F-4CA5-ABC2-F809480DC9F4}" type="presParOf" srcId="{8AEE8A57-8F13-48BD-A4C3-CA500371552A}" destId="{0F36F355-99C6-4BC8-B11B-B46E35A888FA}" srcOrd="3" destOrd="0" presId="urn:microsoft.com/office/officeart/2005/8/layout/gear1"/>
    <dgm:cxn modelId="{FA09139B-4F8C-46BC-9469-17AD3972783C}" type="presParOf" srcId="{8AEE8A57-8F13-48BD-A4C3-CA500371552A}" destId="{16698B11-840C-4F05-9D57-620F965B98B9}" srcOrd="4" destOrd="0" presId="urn:microsoft.com/office/officeart/2005/8/layout/gear1"/>
    <dgm:cxn modelId="{989975DF-CC7B-4D24-9BAE-9004AFD2094E}" type="presParOf" srcId="{8AEE8A57-8F13-48BD-A4C3-CA500371552A}" destId="{93588930-9AFA-43ED-86BA-46B644A25605}" srcOrd="5" destOrd="0" presId="urn:microsoft.com/office/officeart/2005/8/layout/gear1"/>
    <dgm:cxn modelId="{A95A42A4-0710-4C76-A91F-0B65F7170FC2}" type="presParOf" srcId="{8AEE8A57-8F13-48BD-A4C3-CA500371552A}" destId="{CA607DD0-8670-4E61-B4B6-AC0AE93B12C2}" srcOrd="6" destOrd="0" presId="urn:microsoft.com/office/officeart/2005/8/layout/gear1"/>
    <dgm:cxn modelId="{F85162B6-8905-4300-AEFF-CE0E74E586A2}" type="presParOf" srcId="{8AEE8A57-8F13-48BD-A4C3-CA500371552A}" destId="{76C6E94D-8BEA-4563-8A71-4A74A276F18C}" srcOrd="7" destOrd="0" presId="urn:microsoft.com/office/officeart/2005/8/layout/gear1"/>
    <dgm:cxn modelId="{D424FC51-543C-4119-A4BF-18B1C9758258}" type="presParOf" srcId="{8AEE8A57-8F13-48BD-A4C3-CA500371552A}" destId="{AA1D6240-D8C4-4354-B5C9-E7B330769D7D}" srcOrd="8" destOrd="0" presId="urn:microsoft.com/office/officeart/2005/8/layout/gear1"/>
    <dgm:cxn modelId="{A24289C1-CF03-415F-B075-763E57A8D135}" type="presParOf" srcId="{8AEE8A57-8F13-48BD-A4C3-CA500371552A}" destId="{5A686822-EF06-4787-B24B-659D0A933918}" srcOrd="9" destOrd="0" presId="urn:microsoft.com/office/officeart/2005/8/layout/gear1"/>
    <dgm:cxn modelId="{1CBD9F5F-5C15-4F3E-8AFA-B78CE2E15966}" type="presParOf" srcId="{8AEE8A57-8F13-48BD-A4C3-CA500371552A}" destId="{7E17CE1B-F66F-4C23-9F00-AAE66989331E}" srcOrd="10" destOrd="0" presId="urn:microsoft.com/office/officeart/2005/8/layout/gear1"/>
    <dgm:cxn modelId="{106C7AA7-1AE6-41D7-A638-C9A2D7DC5321}" type="presParOf" srcId="{8AEE8A57-8F13-48BD-A4C3-CA500371552A}" destId="{CBB41291-D9B0-4389-9368-F7E668947A24}" srcOrd="11" destOrd="0" presId="urn:microsoft.com/office/officeart/2005/8/layout/gear1"/>
    <dgm:cxn modelId="{E1C80A51-AB21-4BB7-A8B3-8CAD1F8E7EFE}" type="presParOf" srcId="{8AEE8A57-8F13-48BD-A4C3-CA500371552A}" destId="{9D820192-BD0A-413A-8856-389AFE31A638}" srcOrd="12" destOrd="0" presId="urn:microsoft.com/office/officeart/2005/8/layout/gear1"/>
    <dgm:cxn modelId="{CC3EF810-747C-4598-872F-BE0BA0694CCB}" type="presParOf" srcId="{8AEE8A57-8F13-48BD-A4C3-CA500371552A}" destId="{F35D4C20-219B-48BE-98DC-BAFB0F40C4E1}" srcOrd="13" destOrd="0" presId="urn:microsoft.com/office/officeart/2005/8/layout/gear1"/>
    <dgm:cxn modelId="{4DFFB8A6-8533-4207-8827-3A1C7D4742DF}" type="presParOf" srcId="{8AEE8A57-8F13-48BD-A4C3-CA500371552A}" destId="{9630544C-708F-413D-A89C-FEA955D84F36}" srcOrd="14" destOrd="0" presId="urn:microsoft.com/office/officeart/2005/8/layout/gear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0DA05AA-639C-4013-9D2C-A9667AA37A74}" type="doc">
      <dgm:prSet loTypeId="urn:microsoft.com/office/officeart/2005/8/layout/hList2#2" loCatId="relationship" qsTypeId="urn:microsoft.com/office/officeart/2005/8/quickstyle/3d3" qsCatId="3D" csTypeId="urn:microsoft.com/office/officeart/2005/8/colors/accent1_2" csCatId="accent1" phldr="1"/>
      <dgm:spPr/>
      <dgm:t>
        <a:bodyPr/>
        <a:lstStyle/>
        <a:p>
          <a:endParaRPr lang="es-ES"/>
        </a:p>
      </dgm:t>
    </dgm:pt>
    <dgm:pt modelId="{1A854A6F-7FBB-42E0-A62D-12469CF69CB4}">
      <dgm:prSet phldrT="[Texto]"/>
      <dgm:spPr/>
      <dgm:t>
        <a:bodyPr/>
        <a:lstStyle/>
        <a:p>
          <a:r>
            <a:rPr lang="es-ES" i="1"/>
            <a:t>Sobre el programa y propuestas para la mejora</a:t>
          </a:r>
          <a:endParaRPr lang="es-ES"/>
        </a:p>
      </dgm:t>
    </dgm:pt>
    <dgm:pt modelId="{3B7CA1BC-52D1-4E13-8C26-E59FF991157D}" type="parTrans" cxnId="{503CBC81-F771-412F-AF18-B2D55DDB17A9}">
      <dgm:prSet/>
      <dgm:spPr/>
      <dgm:t>
        <a:bodyPr/>
        <a:lstStyle/>
        <a:p>
          <a:endParaRPr lang="es-ES"/>
        </a:p>
      </dgm:t>
    </dgm:pt>
    <dgm:pt modelId="{A3A8411F-D2BB-426E-9A11-D09E5A3703DB}" type="sibTrans" cxnId="{503CBC81-F771-412F-AF18-B2D55DDB17A9}">
      <dgm:prSet/>
      <dgm:spPr/>
      <dgm:t>
        <a:bodyPr/>
        <a:lstStyle/>
        <a:p>
          <a:endParaRPr lang="es-ES"/>
        </a:p>
      </dgm:t>
    </dgm:pt>
    <dgm:pt modelId="{12BC8278-65F8-4F02-832E-C7A49143E43A}">
      <dgm:prSet phldrT="[Texto]"/>
      <dgm:spPr/>
      <dgm:t>
        <a:bodyPr/>
        <a:lstStyle/>
        <a:p>
          <a:r>
            <a:rPr lang="es-ES"/>
            <a:t>1. Visión institucional </a:t>
          </a:r>
        </a:p>
      </dgm:t>
    </dgm:pt>
    <dgm:pt modelId="{36A4B28D-8F55-4E71-9B85-22038F2D38CF}" type="parTrans" cxnId="{1BB85030-051F-4321-AFEE-E71C51AA4753}">
      <dgm:prSet/>
      <dgm:spPr/>
      <dgm:t>
        <a:bodyPr/>
        <a:lstStyle/>
        <a:p>
          <a:endParaRPr lang="es-ES"/>
        </a:p>
      </dgm:t>
    </dgm:pt>
    <dgm:pt modelId="{A87C4825-103C-4509-BA64-5B281FADD7A4}" type="sibTrans" cxnId="{1BB85030-051F-4321-AFEE-E71C51AA4753}">
      <dgm:prSet/>
      <dgm:spPr/>
      <dgm:t>
        <a:bodyPr/>
        <a:lstStyle/>
        <a:p>
          <a:endParaRPr lang="es-ES"/>
        </a:p>
      </dgm:t>
    </dgm:pt>
    <dgm:pt modelId="{456F85E9-F681-4E5D-9AF4-979B176A93A3}">
      <dgm:prSet phldrT="[Texto]"/>
      <dgm:spPr/>
      <dgm:t>
        <a:bodyPr/>
        <a:lstStyle/>
        <a:p>
          <a:r>
            <a:rPr lang="es-ES" i="1"/>
            <a:t>Sobre la planta académica</a:t>
          </a:r>
          <a:endParaRPr lang="es-ES"/>
        </a:p>
      </dgm:t>
    </dgm:pt>
    <dgm:pt modelId="{7D1BEB60-0874-438B-A717-9E0621FA1447}" type="parTrans" cxnId="{FDC75FF3-203B-4B93-8F71-68B7A15F4E94}">
      <dgm:prSet/>
      <dgm:spPr/>
      <dgm:t>
        <a:bodyPr/>
        <a:lstStyle/>
        <a:p>
          <a:endParaRPr lang="es-ES"/>
        </a:p>
      </dgm:t>
    </dgm:pt>
    <dgm:pt modelId="{E45C3D83-11CA-4E65-A0C3-B7C8667ED310}" type="sibTrans" cxnId="{FDC75FF3-203B-4B93-8F71-68B7A15F4E94}">
      <dgm:prSet/>
      <dgm:spPr/>
      <dgm:t>
        <a:bodyPr/>
        <a:lstStyle/>
        <a:p>
          <a:endParaRPr lang="es-ES"/>
        </a:p>
      </dgm:t>
    </dgm:pt>
    <dgm:pt modelId="{3DC33853-20FB-4D8B-AADA-0EC13C756FEC}">
      <dgm:prSet phldrT="[Texto]"/>
      <dgm:spPr/>
      <dgm:t>
        <a:bodyPr/>
        <a:lstStyle/>
        <a:p>
          <a:r>
            <a:rPr lang="es-ES"/>
            <a:t>4. Estrategias institucionales sobre el profesorado</a:t>
          </a:r>
        </a:p>
      </dgm:t>
    </dgm:pt>
    <dgm:pt modelId="{D2259106-D946-4DD0-8D3C-C0885DCA022E}" type="parTrans" cxnId="{4F042F13-2773-4674-80F1-CB42A25E5B29}">
      <dgm:prSet/>
      <dgm:spPr/>
      <dgm:t>
        <a:bodyPr/>
        <a:lstStyle/>
        <a:p>
          <a:endParaRPr lang="es-ES"/>
        </a:p>
      </dgm:t>
    </dgm:pt>
    <dgm:pt modelId="{63B9E4E4-9212-42B0-84AE-05371953D254}" type="sibTrans" cxnId="{4F042F13-2773-4674-80F1-CB42A25E5B29}">
      <dgm:prSet/>
      <dgm:spPr/>
      <dgm:t>
        <a:bodyPr/>
        <a:lstStyle/>
        <a:p>
          <a:endParaRPr lang="es-ES"/>
        </a:p>
      </dgm:t>
    </dgm:pt>
    <dgm:pt modelId="{FE6C5D74-8BEB-4985-9203-0763D4F67E92}">
      <dgm:prSet phldrT="[Texto]"/>
      <dgm:spPr/>
      <dgm:t>
        <a:bodyPr/>
        <a:lstStyle/>
        <a:p>
          <a:r>
            <a:rPr lang="es-ES" i="1"/>
            <a:t>Sobre los alumnos</a:t>
          </a:r>
          <a:endParaRPr lang="es-ES"/>
        </a:p>
      </dgm:t>
    </dgm:pt>
    <dgm:pt modelId="{88FCDACD-B3B5-422D-A09A-97E3F446521A}" type="parTrans" cxnId="{F928E1CD-5042-4565-8462-5C97E37AD7E7}">
      <dgm:prSet/>
      <dgm:spPr/>
      <dgm:t>
        <a:bodyPr/>
        <a:lstStyle/>
        <a:p>
          <a:endParaRPr lang="es-ES"/>
        </a:p>
      </dgm:t>
    </dgm:pt>
    <dgm:pt modelId="{8F1300CD-9188-40A7-8925-79A9CE5B5510}" type="sibTrans" cxnId="{F928E1CD-5042-4565-8462-5C97E37AD7E7}">
      <dgm:prSet/>
      <dgm:spPr/>
      <dgm:t>
        <a:bodyPr/>
        <a:lstStyle/>
        <a:p>
          <a:endParaRPr lang="es-ES"/>
        </a:p>
      </dgm:t>
    </dgm:pt>
    <dgm:pt modelId="{C80DCEBB-0C95-4FAE-905C-D611520E8CDF}">
      <dgm:prSet phldrT="[Texto]"/>
      <dgm:spPr/>
      <dgm:t>
        <a:bodyPr/>
        <a:lstStyle/>
        <a:p>
          <a:r>
            <a:rPr lang="es-ES"/>
            <a:t>8. Estrategias de la participación de los estudiantes en el proceso de mejora de la calidad</a:t>
          </a:r>
        </a:p>
      </dgm:t>
    </dgm:pt>
    <dgm:pt modelId="{19CD99F1-2603-4292-A3B7-A9F8985FD302}" type="parTrans" cxnId="{8D9B706F-C44E-47FD-81AD-12C947A45228}">
      <dgm:prSet/>
      <dgm:spPr/>
      <dgm:t>
        <a:bodyPr/>
        <a:lstStyle/>
        <a:p>
          <a:endParaRPr lang="es-ES"/>
        </a:p>
      </dgm:t>
    </dgm:pt>
    <dgm:pt modelId="{0D655688-018B-41BD-8420-4A9BFF5C2D6B}" type="sibTrans" cxnId="{8D9B706F-C44E-47FD-81AD-12C947A45228}">
      <dgm:prSet/>
      <dgm:spPr/>
      <dgm:t>
        <a:bodyPr/>
        <a:lstStyle/>
        <a:p>
          <a:endParaRPr lang="es-ES"/>
        </a:p>
      </dgm:t>
    </dgm:pt>
    <dgm:pt modelId="{B5B33C4C-2581-4981-A8E1-EA671CC53EFB}">
      <dgm:prSet/>
      <dgm:spPr/>
      <dgm:t>
        <a:bodyPr/>
        <a:lstStyle/>
        <a:p>
          <a:r>
            <a:rPr lang="es-ES"/>
            <a:t>2. Políticas</a:t>
          </a:r>
        </a:p>
      </dgm:t>
    </dgm:pt>
    <dgm:pt modelId="{13791BAC-E0CB-4ABA-8A48-7C8AC9828353}" type="parTrans" cxnId="{D46878E3-5A3A-44D9-8C53-AC7539B7745F}">
      <dgm:prSet/>
      <dgm:spPr/>
      <dgm:t>
        <a:bodyPr/>
        <a:lstStyle/>
        <a:p>
          <a:endParaRPr lang="es-ES"/>
        </a:p>
      </dgm:t>
    </dgm:pt>
    <dgm:pt modelId="{15F68EED-B3C1-4ACF-BE73-B56282AA02EA}" type="sibTrans" cxnId="{D46878E3-5A3A-44D9-8C53-AC7539B7745F}">
      <dgm:prSet/>
      <dgm:spPr/>
      <dgm:t>
        <a:bodyPr/>
        <a:lstStyle/>
        <a:p>
          <a:endParaRPr lang="es-ES"/>
        </a:p>
      </dgm:t>
    </dgm:pt>
    <dgm:pt modelId="{FD9B4FD0-E5F0-4E4B-8BCD-93EB7A8A3BB8}">
      <dgm:prSet/>
      <dgm:spPr/>
      <dgm:t>
        <a:bodyPr/>
        <a:lstStyle/>
        <a:p>
          <a:r>
            <a:rPr lang="es-ES"/>
            <a:t>3. Objetivos, </a:t>
          </a:r>
        </a:p>
      </dgm:t>
    </dgm:pt>
    <dgm:pt modelId="{8557DF79-DD54-4DB6-B4B9-CC1AD691B22C}" type="parTrans" cxnId="{5FE07D07-6E92-4559-9C31-6C2830D52D0B}">
      <dgm:prSet/>
      <dgm:spPr/>
      <dgm:t>
        <a:bodyPr/>
        <a:lstStyle/>
        <a:p>
          <a:endParaRPr lang="es-ES"/>
        </a:p>
      </dgm:t>
    </dgm:pt>
    <dgm:pt modelId="{8A714DEA-6CD5-4E0A-B44B-30CA9CDDB4F4}" type="sibTrans" cxnId="{5FE07D07-6E92-4559-9C31-6C2830D52D0B}">
      <dgm:prSet/>
      <dgm:spPr/>
      <dgm:t>
        <a:bodyPr/>
        <a:lstStyle/>
        <a:p>
          <a:endParaRPr lang="es-ES"/>
        </a:p>
      </dgm:t>
    </dgm:pt>
    <dgm:pt modelId="{5EA4FD97-4334-4371-B161-E512F2BDD78F}">
      <dgm:prSet/>
      <dgm:spPr/>
      <dgm:t>
        <a:bodyPr/>
        <a:lstStyle/>
        <a:p>
          <a:r>
            <a:rPr lang="es-ES"/>
            <a:t>5. Líneas de investigación o líneas de aplicación del conocimiento</a:t>
          </a:r>
        </a:p>
      </dgm:t>
    </dgm:pt>
    <dgm:pt modelId="{75FDAA0C-542C-4E4D-9038-2257E20D198E}" type="parTrans" cxnId="{037FDCBA-F746-4057-8302-76BCCB16A5FD}">
      <dgm:prSet/>
      <dgm:spPr/>
      <dgm:t>
        <a:bodyPr/>
        <a:lstStyle/>
        <a:p>
          <a:endParaRPr lang="es-ES"/>
        </a:p>
      </dgm:t>
    </dgm:pt>
    <dgm:pt modelId="{ECE4F6AF-ABCE-45D2-8344-4A2231D8E6A4}" type="sibTrans" cxnId="{037FDCBA-F746-4057-8302-76BCCB16A5FD}">
      <dgm:prSet/>
      <dgm:spPr/>
      <dgm:t>
        <a:bodyPr/>
        <a:lstStyle/>
        <a:p>
          <a:endParaRPr lang="es-ES"/>
        </a:p>
      </dgm:t>
    </dgm:pt>
    <dgm:pt modelId="{EBF3E951-74C4-4540-884D-880D39862E64}">
      <dgm:prSet/>
      <dgm:spPr/>
      <dgm:t>
        <a:bodyPr/>
        <a:lstStyle/>
        <a:p>
          <a:r>
            <a:rPr lang="es-ES"/>
            <a:t>9. Acciones realizadas para la mejora de la calidad</a:t>
          </a:r>
        </a:p>
      </dgm:t>
    </dgm:pt>
    <dgm:pt modelId="{AB45E3C9-A15B-476D-9288-127E537D1807}" type="parTrans" cxnId="{3A426B95-82AB-4CC4-A85B-6070EABB7A05}">
      <dgm:prSet/>
      <dgm:spPr/>
      <dgm:t>
        <a:bodyPr/>
        <a:lstStyle/>
        <a:p>
          <a:endParaRPr lang="es-ES"/>
        </a:p>
      </dgm:t>
    </dgm:pt>
    <dgm:pt modelId="{1F0C773D-00BD-48D5-A8D0-1940B5511B84}" type="sibTrans" cxnId="{3A426B95-82AB-4CC4-A85B-6070EABB7A05}">
      <dgm:prSet/>
      <dgm:spPr/>
      <dgm:t>
        <a:bodyPr/>
        <a:lstStyle/>
        <a:p>
          <a:endParaRPr lang="es-ES"/>
        </a:p>
      </dgm:t>
    </dgm:pt>
    <dgm:pt modelId="{F91D4D3E-E913-410F-9767-E35FBA317A4C}">
      <dgm:prSet/>
      <dgm:spPr/>
      <dgm:t>
        <a:bodyPr/>
        <a:lstStyle/>
        <a:p>
          <a:r>
            <a:rPr lang="es-ES"/>
            <a:t>10. Identificación de fortalezas y problemas, así como las propuestas para atenderlos</a:t>
          </a:r>
        </a:p>
      </dgm:t>
    </dgm:pt>
    <dgm:pt modelId="{F5F19B23-67F7-4D66-98A5-822FF66E8634}" type="parTrans" cxnId="{67C12CD2-85B8-48CB-A777-C24C3DEB597D}">
      <dgm:prSet/>
      <dgm:spPr/>
      <dgm:t>
        <a:bodyPr/>
        <a:lstStyle/>
        <a:p>
          <a:endParaRPr lang="es-ES"/>
        </a:p>
      </dgm:t>
    </dgm:pt>
    <dgm:pt modelId="{3B7F1FFC-93C1-4A53-ADF9-1C9619198B09}" type="sibTrans" cxnId="{67C12CD2-85B8-48CB-A777-C24C3DEB597D}">
      <dgm:prSet/>
      <dgm:spPr/>
      <dgm:t>
        <a:bodyPr/>
        <a:lstStyle/>
        <a:p>
          <a:endParaRPr lang="es-ES"/>
        </a:p>
      </dgm:t>
    </dgm:pt>
    <dgm:pt modelId="{34B5DC3A-1ADD-4E2D-8002-20BFBD76D655}">
      <dgm:prSet/>
      <dgm:spPr/>
      <dgm:t>
        <a:bodyPr/>
        <a:lstStyle/>
        <a:p>
          <a:r>
            <a:rPr lang="es-ES"/>
            <a:t>7. Estrategias empleadas para productividad científica</a:t>
          </a:r>
        </a:p>
      </dgm:t>
    </dgm:pt>
    <dgm:pt modelId="{3883A5F0-B193-45DB-BA66-8554D39D2BB6}" type="parTrans" cxnId="{A0F01EE1-43C2-46D4-AAE0-0305C0D337E6}">
      <dgm:prSet/>
      <dgm:spPr/>
      <dgm:t>
        <a:bodyPr/>
        <a:lstStyle/>
        <a:p>
          <a:endParaRPr lang="es-ES"/>
        </a:p>
      </dgm:t>
    </dgm:pt>
    <dgm:pt modelId="{F8AFFCC4-CC72-4335-A708-F6B8A48596EC}" type="sibTrans" cxnId="{A0F01EE1-43C2-46D4-AAE0-0305C0D337E6}">
      <dgm:prSet/>
      <dgm:spPr/>
      <dgm:t>
        <a:bodyPr/>
        <a:lstStyle/>
        <a:p>
          <a:endParaRPr lang="es-ES"/>
        </a:p>
      </dgm:t>
    </dgm:pt>
    <dgm:pt modelId="{1EDF62AB-D040-4511-BA4C-9C5FD4ACFAAB}">
      <dgm:prSet/>
      <dgm:spPr/>
      <dgm:t>
        <a:bodyPr/>
        <a:lstStyle/>
        <a:p>
          <a:r>
            <a:rPr lang="es-ES"/>
            <a:t>6. Estrategias para la elevación de la eficiencia terminal</a:t>
          </a:r>
        </a:p>
      </dgm:t>
    </dgm:pt>
    <dgm:pt modelId="{35792F12-AC09-4D58-A33F-282AA2FA3A77}" type="parTrans" cxnId="{4B37E261-5E3F-4C80-BD2A-323560A7B2CC}">
      <dgm:prSet/>
      <dgm:spPr/>
      <dgm:t>
        <a:bodyPr/>
        <a:lstStyle/>
        <a:p>
          <a:endParaRPr lang="es-ES"/>
        </a:p>
      </dgm:t>
    </dgm:pt>
    <dgm:pt modelId="{28C6D92A-B8BA-4DDB-9893-52A0FB10CAEA}" type="sibTrans" cxnId="{4B37E261-5E3F-4C80-BD2A-323560A7B2CC}">
      <dgm:prSet/>
      <dgm:spPr/>
      <dgm:t>
        <a:bodyPr/>
        <a:lstStyle/>
        <a:p>
          <a:endParaRPr lang="es-ES"/>
        </a:p>
      </dgm:t>
    </dgm:pt>
    <dgm:pt modelId="{8949B6E5-0FB6-408B-B696-651C84C3BEE5}" type="pres">
      <dgm:prSet presAssocID="{A0DA05AA-639C-4013-9D2C-A9667AA37A74}" presName="linearFlow" presStyleCnt="0">
        <dgm:presLayoutVars>
          <dgm:dir/>
          <dgm:animLvl val="lvl"/>
          <dgm:resizeHandles/>
        </dgm:presLayoutVars>
      </dgm:prSet>
      <dgm:spPr/>
      <dgm:t>
        <a:bodyPr/>
        <a:lstStyle/>
        <a:p>
          <a:endParaRPr lang="es-ES"/>
        </a:p>
      </dgm:t>
    </dgm:pt>
    <dgm:pt modelId="{1A70E5AD-8852-4401-BB66-6B140B753087}" type="pres">
      <dgm:prSet presAssocID="{1A854A6F-7FBB-42E0-A62D-12469CF69CB4}" presName="compositeNode" presStyleCnt="0">
        <dgm:presLayoutVars>
          <dgm:bulletEnabled val="1"/>
        </dgm:presLayoutVars>
      </dgm:prSet>
      <dgm:spPr/>
    </dgm:pt>
    <dgm:pt modelId="{15241C2A-9BBD-4C01-87A5-A31AA589A786}" type="pres">
      <dgm:prSet presAssocID="{1A854A6F-7FBB-42E0-A62D-12469CF69CB4}" presName="image" presStyleLbl="fgImgPlace1" presStyleIdx="0" presStyleCnt="3" custScaleX="99728" custScaleY="121545" custLinFactNeighborX="1045" custLinFactNeighborY="-23251"/>
      <dgm:spPr>
        <a:blipFill rotWithShape="0">
          <a:blip xmlns:r="http://schemas.openxmlformats.org/officeDocument/2006/relationships" r:embed="rId1"/>
          <a:stretch>
            <a:fillRect/>
          </a:stretch>
        </a:blipFill>
      </dgm:spPr>
      <dgm:t>
        <a:bodyPr/>
        <a:lstStyle/>
        <a:p>
          <a:endParaRPr lang="es-ES"/>
        </a:p>
      </dgm:t>
    </dgm:pt>
    <dgm:pt modelId="{35A3D728-34B4-4A89-B141-1BCB40990B7C}" type="pres">
      <dgm:prSet presAssocID="{1A854A6F-7FBB-42E0-A62D-12469CF69CB4}" presName="childNode" presStyleLbl="node1" presStyleIdx="0" presStyleCnt="3">
        <dgm:presLayoutVars>
          <dgm:bulletEnabled val="1"/>
        </dgm:presLayoutVars>
      </dgm:prSet>
      <dgm:spPr/>
      <dgm:t>
        <a:bodyPr/>
        <a:lstStyle/>
        <a:p>
          <a:endParaRPr lang="es-ES"/>
        </a:p>
      </dgm:t>
    </dgm:pt>
    <dgm:pt modelId="{16CB83FB-67E8-4453-B931-6BDAB2444F8A}" type="pres">
      <dgm:prSet presAssocID="{1A854A6F-7FBB-42E0-A62D-12469CF69CB4}" presName="parentNode" presStyleLbl="revTx" presStyleIdx="0" presStyleCnt="3">
        <dgm:presLayoutVars>
          <dgm:chMax val="0"/>
          <dgm:bulletEnabled val="1"/>
        </dgm:presLayoutVars>
      </dgm:prSet>
      <dgm:spPr/>
      <dgm:t>
        <a:bodyPr/>
        <a:lstStyle/>
        <a:p>
          <a:endParaRPr lang="es-ES"/>
        </a:p>
      </dgm:t>
    </dgm:pt>
    <dgm:pt modelId="{0920B036-79E5-4D88-A4D5-251199C2B72B}" type="pres">
      <dgm:prSet presAssocID="{A3A8411F-D2BB-426E-9A11-D09E5A3703DB}" presName="sibTrans" presStyleCnt="0"/>
      <dgm:spPr/>
    </dgm:pt>
    <dgm:pt modelId="{C15A0791-5A4A-4FE9-BC88-0129E54BC75E}" type="pres">
      <dgm:prSet presAssocID="{456F85E9-F681-4E5D-9AF4-979B176A93A3}" presName="compositeNode" presStyleCnt="0">
        <dgm:presLayoutVars>
          <dgm:bulletEnabled val="1"/>
        </dgm:presLayoutVars>
      </dgm:prSet>
      <dgm:spPr/>
    </dgm:pt>
    <dgm:pt modelId="{51494830-9E5C-4173-8942-C4BC393CC13F}" type="pres">
      <dgm:prSet presAssocID="{456F85E9-F681-4E5D-9AF4-979B176A93A3}" presName="image" presStyleLbl="fgImgPlace1" presStyleIdx="1" presStyleCnt="3" custScaleX="99728" custScaleY="121545" custLinFactNeighborX="1045" custLinFactNeighborY="-23251"/>
      <dgm:spPr>
        <a:blipFill rotWithShape="0">
          <a:blip xmlns:r="http://schemas.openxmlformats.org/officeDocument/2006/relationships" r:embed="rId2"/>
          <a:stretch>
            <a:fillRect/>
          </a:stretch>
        </a:blipFill>
      </dgm:spPr>
      <dgm:t>
        <a:bodyPr/>
        <a:lstStyle/>
        <a:p>
          <a:endParaRPr lang="es-ES"/>
        </a:p>
      </dgm:t>
    </dgm:pt>
    <dgm:pt modelId="{0DF04F5E-19EF-46FA-B98F-D1D0530E856D}" type="pres">
      <dgm:prSet presAssocID="{456F85E9-F681-4E5D-9AF4-979B176A93A3}" presName="childNode" presStyleLbl="node1" presStyleIdx="1" presStyleCnt="3">
        <dgm:presLayoutVars>
          <dgm:bulletEnabled val="1"/>
        </dgm:presLayoutVars>
      </dgm:prSet>
      <dgm:spPr/>
      <dgm:t>
        <a:bodyPr/>
        <a:lstStyle/>
        <a:p>
          <a:endParaRPr lang="es-ES"/>
        </a:p>
      </dgm:t>
    </dgm:pt>
    <dgm:pt modelId="{462E5A75-656C-4BA9-B38D-D59471335344}" type="pres">
      <dgm:prSet presAssocID="{456F85E9-F681-4E5D-9AF4-979B176A93A3}" presName="parentNode" presStyleLbl="revTx" presStyleIdx="1" presStyleCnt="3">
        <dgm:presLayoutVars>
          <dgm:chMax val="0"/>
          <dgm:bulletEnabled val="1"/>
        </dgm:presLayoutVars>
      </dgm:prSet>
      <dgm:spPr/>
      <dgm:t>
        <a:bodyPr/>
        <a:lstStyle/>
        <a:p>
          <a:endParaRPr lang="es-ES"/>
        </a:p>
      </dgm:t>
    </dgm:pt>
    <dgm:pt modelId="{B7D5A340-3479-441F-9FAF-BE3295FE8F16}" type="pres">
      <dgm:prSet presAssocID="{E45C3D83-11CA-4E65-A0C3-B7C8667ED310}" presName="sibTrans" presStyleCnt="0"/>
      <dgm:spPr/>
    </dgm:pt>
    <dgm:pt modelId="{895321AA-1ECD-433A-B395-F1007EF6020C}" type="pres">
      <dgm:prSet presAssocID="{FE6C5D74-8BEB-4985-9203-0763D4F67E92}" presName="compositeNode" presStyleCnt="0">
        <dgm:presLayoutVars>
          <dgm:bulletEnabled val="1"/>
        </dgm:presLayoutVars>
      </dgm:prSet>
      <dgm:spPr/>
    </dgm:pt>
    <dgm:pt modelId="{EB0935C3-5E21-48E4-9611-321EABA9125D}" type="pres">
      <dgm:prSet presAssocID="{FE6C5D74-8BEB-4985-9203-0763D4F67E92}" presName="image" presStyleLbl="fgImgPlace1" presStyleIdx="2" presStyleCnt="3" custScaleX="99728" custScaleY="121545" custLinFactNeighborX="1045" custLinFactNeighborY="-23251"/>
      <dgm:spPr>
        <a:blipFill rotWithShape="0">
          <a:blip xmlns:r="http://schemas.openxmlformats.org/officeDocument/2006/relationships" r:embed="rId3"/>
          <a:stretch>
            <a:fillRect/>
          </a:stretch>
        </a:blipFill>
      </dgm:spPr>
      <dgm:t>
        <a:bodyPr/>
        <a:lstStyle/>
        <a:p>
          <a:endParaRPr lang="es-ES"/>
        </a:p>
      </dgm:t>
    </dgm:pt>
    <dgm:pt modelId="{ECAB49C2-7719-4EF8-9F17-CF6ECE4A0094}" type="pres">
      <dgm:prSet presAssocID="{FE6C5D74-8BEB-4985-9203-0763D4F67E92}" presName="childNode" presStyleLbl="node1" presStyleIdx="2" presStyleCnt="3">
        <dgm:presLayoutVars>
          <dgm:bulletEnabled val="1"/>
        </dgm:presLayoutVars>
      </dgm:prSet>
      <dgm:spPr/>
      <dgm:t>
        <a:bodyPr/>
        <a:lstStyle/>
        <a:p>
          <a:endParaRPr lang="es-ES"/>
        </a:p>
      </dgm:t>
    </dgm:pt>
    <dgm:pt modelId="{C0C25D1E-C9AA-422D-8392-85746B1379E3}" type="pres">
      <dgm:prSet presAssocID="{FE6C5D74-8BEB-4985-9203-0763D4F67E92}" presName="parentNode" presStyleLbl="revTx" presStyleIdx="2" presStyleCnt="3">
        <dgm:presLayoutVars>
          <dgm:chMax val="0"/>
          <dgm:bulletEnabled val="1"/>
        </dgm:presLayoutVars>
      </dgm:prSet>
      <dgm:spPr/>
      <dgm:t>
        <a:bodyPr/>
        <a:lstStyle/>
        <a:p>
          <a:endParaRPr lang="es-ES"/>
        </a:p>
      </dgm:t>
    </dgm:pt>
  </dgm:ptLst>
  <dgm:cxnLst>
    <dgm:cxn modelId="{A0F18A77-AEB4-45BA-BCAC-B50EBF06A75A}" type="presOf" srcId="{1A854A6F-7FBB-42E0-A62D-12469CF69CB4}" destId="{16CB83FB-67E8-4453-B931-6BDAB2444F8A}" srcOrd="0" destOrd="0" presId="urn:microsoft.com/office/officeart/2005/8/layout/hList2#2"/>
    <dgm:cxn modelId="{4D7E5E2E-A3F7-43E6-8C3C-B03EF7BE636C}" type="presOf" srcId="{FD9B4FD0-E5F0-4E4B-8BCD-93EB7A8A3BB8}" destId="{35A3D728-34B4-4A89-B141-1BCB40990B7C}" srcOrd="0" destOrd="2" presId="urn:microsoft.com/office/officeart/2005/8/layout/hList2#2"/>
    <dgm:cxn modelId="{832B510C-4F90-45D3-AB09-515B5E3C9F4B}" type="presOf" srcId="{34B5DC3A-1ADD-4E2D-8002-20BFBD76D655}" destId="{0DF04F5E-19EF-46FA-B98F-D1D0530E856D}" srcOrd="0" destOrd="1" presId="urn:microsoft.com/office/officeart/2005/8/layout/hList2#2"/>
    <dgm:cxn modelId="{1ACCED58-F689-4178-87C7-97DA9F841929}" type="presOf" srcId="{3DC33853-20FB-4D8B-AADA-0EC13C756FEC}" destId="{0DF04F5E-19EF-46FA-B98F-D1D0530E856D}" srcOrd="0" destOrd="0" presId="urn:microsoft.com/office/officeart/2005/8/layout/hList2#2"/>
    <dgm:cxn modelId="{95549E3F-F838-4196-A5DE-0B9308666EE2}" type="presOf" srcId="{12BC8278-65F8-4F02-832E-C7A49143E43A}" destId="{35A3D728-34B4-4A89-B141-1BCB40990B7C}" srcOrd="0" destOrd="0" presId="urn:microsoft.com/office/officeart/2005/8/layout/hList2#2"/>
    <dgm:cxn modelId="{9E533AC6-7671-4267-BC64-67FC9EBE737F}" type="presOf" srcId="{F91D4D3E-E913-410F-9767-E35FBA317A4C}" destId="{35A3D728-34B4-4A89-B141-1BCB40990B7C}" srcOrd="0" destOrd="4" presId="urn:microsoft.com/office/officeart/2005/8/layout/hList2#2"/>
    <dgm:cxn modelId="{043C94E6-7686-45A1-9918-E2F10CEBF875}" type="presOf" srcId="{C80DCEBB-0C95-4FAE-905C-D611520E8CDF}" destId="{ECAB49C2-7719-4EF8-9F17-CF6ECE4A0094}" srcOrd="0" destOrd="0" presId="urn:microsoft.com/office/officeart/2005/8/layout/hList2#2"/>
    <dgm:cxn modelId="{037FDCBA-F746-4057-8302-76BCCB16A5FD}" srcId="{1A854A6F-7FBB-42E0-A62D-12469CF69CB4}" destId="{5EA4FD97-4334-4371-B161-E512F2BDD78F}" srcOrd="3" destOrd="0" parTransId="{75FDAA0C-542C-4E4D-9038-2257E20D198E}" sibTransId="{ECE4F6AF-ABCE-45D2-8344-4A2231D8E6A4}"/>
    <dgm:cxn modelId="{A0F01EE1-43C2-46D4-AAE0-0305C0D337E6}" srcId="{456F85E9-F681-4E5D-9AF4-979B176A93A3}" destId="{34B5DC3A-1ADD-4E2D-8002-20BFBD76D655}" srcOrd="1" destOrd="0" parTransId="{3883A5F0-B193-45DB-BA66-8554D39D2BB6}" sibTransId="{F8AFFCC4-CC72-4335-A708-F6B8A48596EC}"/>
    <dgm:cxn modelId="{0B1D5348-5E3B-4D27-9FD5-72ACED9C155B}" type="presOf" srcId="{1EDF62AB-D040-4511-BA4C-9C5FD4ACFAAB}" destId="{ECAB49C2-7719-4EF8-9F17-CF6ECE4A0094}" srcOrd="0" destOrd="1" presId="urn:microsoft.com/office/officeart/2005/8/layout/hList2#2"/>
    <dgm:cxn modelId="{1BB85030-051F-4321-AFEE-E71C51AA4753}" srcId="{1A854A6F-7FBB-42E0-A62D-12469CF69CB4}" destId="{12BC8278-65F8-4F02-832E-C7A49143E43A}" srcOrd="0" destOrd="0" parTransId="{36A4B28D-8F55-4E71-9B85-22038F2D38CF}" sibTransId="{A87C4825-103C-4509-BA64-5B281FADD7A4}"/>
    <dgm:cxn modelId="{5FE07D07-6E92-4559-9C31-6C2830D52D0B}" srcId="{1A854A6F-7FBB-42E0-A62D-12469CF69CB4}" destId="{FD9B4FD0-E5F0-4E4B-8BCD-93EB7A8A3BB8}" srcOrd="2" destOrd="0" parTransId="{8557DF79-DD54-4DB6-B4B9-CC1AD691B22C}" sibTransId="{8A714DEA-6CD5-4E0A-B44B-30CA9CDDB4F4}"/>
    <dgm:cxn modelId="{DBFD210C-DA17-4410-9C0F-19AE80B034FC}" type="presOf" srcId="{A0DA05AA-639C-4013-9D2C-A9667AA37A74}" destId="{8949B6E5-0FB6-408B-B696-651C84C3BEE5}" srcOrd="0" destOrd="0" presId="urn:microsoft.com/office/officeart/2005/8/layout/hList2#2"/>
    <dgm:cxn modelId="{8D9B706F-C44E-47FD-81AD-12C947A45228}" srcId="{FE6C5D74-8BEB-4985-9203-0763D4F67E92}" destId="{C80DCEBB-0C95-4FAE-905C-D611520E8CDF}" srcOrd="0" destOrd="0" parTransId="{19CD99F1-2603-4292-A3B7-A9F8985FD302}" sibTransId="{0D655688-018B-41BD-8420-4A9BFF5C2D6B}"/>
    <dgm:cxn modelId="{125D9156-391D-425D-BEC4-7990D6A64CD9}" type="presOf" srcId="{FE6C5D74-8BEB-4985-9203-0763D4F67E92}" destId="{C0C25D1E-C9AA-422D-8392-85746B1379E3}" srcOrd="0" destOrd="0" presId="urn:microsoft.com/office/officeart/2005/8/layout/hList2#2"/>
    <dgm:cxn modelId="{BDD276A0-F27A-458B-9EE2-CE84CE4E12CA}" type="presOf" srcId="{B5B33C4C-2581-4981-A8E1-EA671CC53EFB}" destId="{35A3D728-34B4-4A89-B141-1BCB40990B7C}" srcOrd="0" destOrd="1" presId="urn:microsoft.com/office/officeart/2005/8/layout/hList2#2"/>
    <dgm:cxn modelId="{67C12CD2-85B8-48CB-A777-C24C3DEB597D}" srcId="{1A854A6F-7FBB-42E0-A62D-12469CF69CB4}" destId="{F91D4D3E-E913-410F-9767-E35FBA317A4C}" srcOrd="4" destOrd="0" parTransId="{F5F19B23-67F7-4D66-98A5-822FF66E8634}" sibTransId="{3B7F1FFC-93C1-4A53-ADF9-1C9619198B09}"/>
    <dgm:cxn modelId="{FDC75FF3-203B-4B93-8F71-68B7A15F4E94}" srcId="{A0DA05AA-639C-4013-9D2C-A9667AA37A74}" destId="{456F85E9-F681-4E5D-9AF4-979B176A93A3}" srcOrd="1" destOrd="0" parTransId="{7D1BEB60-0874-438B-A717-9E0621FA1447}" sibTransId="{E45C3D83-11CA-4E65-A0C3-B7C8667ED310}"/>
    <dgm:cxn modelId="{F928E1CD-5042-4565-8462-5C97E37AD7E7}" srcId="{A0DA05AA-639C-4013-9D2C-A9667AA37A74}" destId="{FE6C5D74-8BEB-4985-9203-0763D4F67E92}" srcOrd="2" destOrd="0" parTransId="{88FCDACD-B3B5-422D-A09A-97E3F446521A}" sibTransId="{8F1300CD-9188-40A7-8925-79A9CE5B5510}"/>
    <dgm:cxn modelId="{24B2740C-244A-4C13-A5B3-59F67126B915}" type="presOf" srcId="{EBF3E951-74C4-4540-884D-880D39862E64}" destId="{35A3D728-34B4-4A89-B141-1BCB40990B7C}" srcOrd="0" destOrd="5" presId="urn:microsoft.com/office/officeart/2005/8/layout/hList2#2"/>
    <dgm:cxn modelId="{3A426B95-82AB-4CC4-A85B-6070EABB7A05}" srcId="{1A854A6F-7FBB-42E0-A62D-12469CF69CB4}" destId="{EBF3E951-74C4-4540-884D-880D39862E64}" srcOrd="5" destOrd="0" parTransId="{AB45E3C9-A15B-476D-9288-127E537D1807}" sibTransId="{1F0C773D-00BD-48D5-A8D0-1940B5511B84}"/>
    <dgm:cxn modelId="{D58DE2FF-182D-43FF-9CB1-3E76343F29AD}" type="presOf" srcId="{456F85E9-F681-4E5D-9AF4-979B176A93A3}" destId="{462E5A75-656C-4BA9-B38D-D59471335344}" srcOrd="0" destOrd="0" presId="urn:microsoft.com/office/officeart/2005/8/layout/hList2#2"/>
    <dgm:cxn modelId="{4B37E261-5E3F-4C80-BD2A-323560A7B2CC}" srcId="{FE6C5D74-8BEB-4985-9203-0763D4F67E92}" destId="{1EDF62AB-D040-4511-BA4C-9C5FD4ACFAAB}" srcOrd="1" destOrd="0" parTransId="{35792F12-AC09-4D58-A33F-282AA2FA3A77}" sibTransId="{28C6D92A-B8BA-4DDB-9893-52A0FB10CAEA}"/>
    <dgm:cxn modelId="{D46878E3-5A3A-44D9-8C53-AC7539B7745F}" srcId="{1A854A6F-7FBB-42E0-A62D-12469CF69CB4}" destId="{B5B33C4C-2581-4981-A8E1-EA671CC53EFB}" srcOrd="1" destOrd="0" parTransId="{13791BAC-E0CB-4ABA-8A48-7C8AC9828353}" sibTransId="{15F68EED-B3C1-4ACF-BE73-B56282AA02EA}"/>
    <dgm:cxn modelId="{4F042F13-2773-4674-80F1-CB42A25E5B29}" srcId="{456F85E9-F681-4E5D-9AF4-979B176A93A3}" destId="{3DC33853-20FB-4D8B-AADA-0EC13C756FEC}" srcOrd="0" destOrd="0" parTransId="{D2259106-D946-4DD0-8D3C-C0885DCA022E}" sibTransId="{63B9E4E4-9212-42B0-84AE-05371953D254}"/>
    <dgm:cxn modelId="{503CBC81-F771-412F-AF18-B2D55DDB17A9}" srcId="{A0DA05AA-639C-4013-9D2C-A9667AA37A74}" destId="{1A854A6F-7FBB-42E0-A62D-12469CF69CB4}" srcOrd="0" destOrd="0" parTransId="{3B7CA1BC-52D1-4E13-8C26-E59FF991157D}" sibTransId="{A3A8411F-D2BB-426E-9A11-D09E5A3703DB}"/>
    <dgm:cxn modelId="{D72CB38A-4716-4081-8881-DEC07D603A8F}" type="presOf" srcId="{5EA4FD97-4334-4371-B161-E512F2BDD78F}" destId="{35A3D728-34B4-4A89-B141-1BCB40990B7C}" srcOrd="0" destOrd="3" presId="urn:microsoft.com/office/officeart/2005/8/layout/hList2#2"/>
    <dgm:cxn modelId="{3BCC1F6A-C4B9-42D5-BCA8-6441B2CB9BC1}" type="presParOf" srcId="{8949B6E5-0FB6-408B-B696-651C84C3BEE5}" destId="{1A70E5AD-8852-4401-BB66-6B140B753087}" srcOrd="0" destOrd="0" presId="urn:microsoft.com/office/officeart/2005/8/layout/hList2#2"/>
    <dgm:cxn modelId="{7F97A795-5441-4580-B4A5-6A73DDDF4C41}" type="presParOf" srcId="{1A70E5AD-8852-4401-BB66-6B140B753087}" destId="{15241C2A-9BBD-4C01-87A5-A31AA589A786}" srcOrd="0" destOrd="0" presId="urn:microsoft.com/office/officeart/2005/8/layout/hList2#2"/>
    <dgm:cxn modelId="{FF004381-D18A-4D97-AE26-0BFD0A983537}" type="presParOf" srcId="{1A70E5AD-8852-4401-BB66-6B140B753087}" destId="{35A3D728-34B4-4A89-B141-1BCB40990B7C}" srcOrd="1" destOrd="0" presId="urn:microsoft.com/office/officeart/2005/8/layout/hList2#2"/>
    <dgm:cxn modelId="{954F13C3-A6EE-4AA5-BA66-12F46A15629C}" type="presParOf" srcId="{1A70E5AD-8852-4401-BB66-6B140B753087}" destId="{16CB83FB-67E8-4453-B931-6BDAB2444F8A}" srcOrd="2" destOrd="0" presId="urn:microsoft.com/office/officeart/2005/8/layout/hList2#2"/>
    <dgm:cxn modelId="{F3365CE0-3C50-4DD1-B725-5BAEAD3FD0A3}" type="presParOf" srcId="{8949B6E5-0FB6-408B-B696-651C84C3BEE5}" destId="{0920B036-79E5-4D88-A4D5-251199C2B72B}" srcOrd="1" destOrd="0" presId="urn:microsoft.com/office/officeart/2005/8/layout/hList2#2"/>
    <dgm:cxn modelId="{C5E4A1B7-C09B-4132-83BE-844F8DD098C7}" type="presParOf" srcId="{8949B6E5-0FB6-408B-B696-651C84C3BEE5}" destId="{C15A0791-5A4A-4FE9-BC88-0129E54BC75E}" srcOrd="2" destOrd="0" presId="urn:microsoft.com/office/officeart/2005/8/layout/hList2#2"/>
    <dgm:cxn modelId="{1779D081-DCE5-4A75-9612-721BFA31269E}" type="presParOf" srcId="{C15A0791-5A4A-4FE9-BC88-0129E54BC75E}" destId="{51494830-9E5C-4173-8942-C4BC393CC13F}" srcOrd="0" destOrd="0" presId="urn:microsoft.com/office/officeart/2005/8/layout/hList2#2"/>
    <dgm:cxn modelId="{5BC54360-FD5C-4A6D-881A-83E6D6F95474}" type="presParOf" srcId="{C15A0791-5A4A-4FE9-BC88-0129E54BC75E}" destId="{0DF04F5E-19EF-46FA-B98F-D1D0530E856D}" srcOrd="1" destOrd="0" presId="urn:microsoft.com/office/officeart/2005/8/layout/hList2#2"/>
    <dgm:cxn modelId="{88FE5150-1A15-4F2D-A6DF-17CFD77B861A}" type="presParOf" srcId="{C15A0791-5A4A-4FE9-BC88-0129E54BC75E}" destId="{462E5A75-656C-4BA9-B38D-D59471335344}" srcOrd="2" destOrd="0" presId="urn:microsoft.com/office/officeart/2005/8/layout/hList2#2"/>
    <dgm:cxn modelId="{A1B5342C-142D-44B1-95CD-BCE79E5E7113}" type="presParOf" srcId="{8949B6E5-0FB6-408B-B696-651C84C3BEE5}" destId="{B7D5A340-3479-441F-9FAF-BE3295FE8F16}" srcOrd="3" destOrd="0" presId="urn:microsoft.com/office/officeart/2005/8/layout/hList2#2"/>
    <dgm:cxn modelId="{83A4089A-AA74-4724-93E2-71D43746B4E4}" type="presParOf" srcId="{8949B6E5-0FB6-408B-B696-651C84C3BEE5}" destId="{895321AA-1ECD-433A-B395-F1007EF6020C}" srcOrd="4" destOrd="0" presId="urn:microsoft.com/office/officeart/2005/8/layout/hList2#2"/>
    <dgm:cxn modelId="{AAEE25C3-8552-4337-ACF2-B168B1FD72D4}" type="presParOf" srcId="{895321AA-1ECD-433A-B395-F1007EF6020C}" destId="{EB0935C3-5E21-48E4-9611-321EABA9125D}" srcOrd="0" destOrd="0" presId="urn:microsoft.com/office/officeart/2005/8/layout/hList2#2"/>
    <dgm:cxn modelId="{65498C24-7CBF-45F5-B392-8F9B2DFDBF87}" type="presParOf" srcId="{895321AA-1ECD-433A-B395-F1007EF6020C}" destId="{ECAB49C2-7719-4EF8-9F17-CF6ECE4A0094}" srcOrd="1" destOrd="0" presId="urn:microsoft.com/office/officeart/2005/8/layout/hList2#2"/>
    <dgm:cxn modelId="{0713DFB9-F2A7-49E4-8738-E4F3A4D6678D}" type="presParOf" srcId="{895321AA-1ECD-433A-B395-F1007EF6020C}" destId="{C0C25D1E-C9AA-422D-8392-85746B1379E3}" srcOrd="2" destOrd="0" presId="urn:microsoft.com/office/officeart/2005/8/layout/hList2#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0050AF4-1859-4B46-B1EA-E481D8049EEB}" type="doc">
      <dgm:prSet loTypeId="urn:microsoft.com/office/officeart/2005/8/layout/hList1" loCatId="list" qsTypeId="urn:microsoft.com/office/officeart/2005/8/quickstyle/3d6" qsCatId="3D" csTypeId="urn:microsoft.com/office/officeart/2005/8/colors/accent1_2" csCatId="accent1" phldr="1"/>
      <dgm:spPr/>
      <dgm:t>
        <a:bodyPr/>
        <a:lstStyle/>
        <a:p>
          <a:endParaRPr lang="es-ES"/>
        </a:p>
      </dgm:t>
    </dgm:pt>
    <dgm:pt modelId="{F27F29B3-0545-4B75-979F-76E438CA2DAF}">
      <dgm:prSet phldrT="[Texto]"/>
      <dgm:spPr/>
      <dgm:t>
        <a:bodyPr/>
        <a:lstStyle/>
        <a:p>
          <a:r>
            <a:rPr lang="es-ES"/>
            <a:t>plan de estudio</a:t>
          </a:r>
        </a:p>
      </dgm:t>
    </dgm:pt>
    <dgm:pt modelId="{0C90D1AF-B288-4E1A-986A-EE3E8A309B75}" type="parTrans" cxnId="{16F588BB-687C-4DC4-AEC3-8B7061656FE8}">
      <dgm:prSet/>
      <dgm:spPr/>
      <dgm:t>
        <a:bodyPr/>
        <a:lstStyle/>
        <a:p>
          <a:endParaRPr lang="es-ES"/>
        </a:p>
      </dgm:t>
    </dgm:pt>
    <dgm:pt modelId="{D15F2C40-5403-4118-A6C6-E9503C4768EF}" type="sibTrans" cxnId="{16F588BB-687C-4DC4-AEC3-8B7061656FE8}">
      <dgm:prSet/>
      <dgm:spPr/>
      <dgm:t>
        <a:bodyPr/>
        <a:lstStyle/>
        <a:p>
          <a:endParaRPr lang="es-ES"/>
        </a:p>
      </dgm:t>
    </dgm:pt>
    <dgm:pt modelId="{E54E75A9-F243-46C1-B64F-950DBBA41695}">
      <dgm:prSet phldrT="[Texto]"/>
      <dgm:spPr/>
      <dgm:t>
        <a:bodyPr/>
        <a:lstStyle/>
        <a:p>
          <a:r>
            <a:rPr lang="es-ES"/>
            <a:t>perfil de ingreso</a:t>
          </a:r>
        </a:p>
      </dgm:t>
    </dgm:pt>
    <dgm:pt modelId="{EBBF7A86-EF49-4242-B6FD-6A33B51F69DB}" type="parTrans" cxnId="{1CEF388F-AC3C-4D3C-BBE7-E880C5406754}">
      <dgm:prSet/>
      <dgm:spPr/>
      <dgm:t>
        <a:bodyPr/>
        <a:lstStyle/>
        <a:p>
          <a:endParaRPr lang="es-ES"/>
        </a:p>
      </dgm:t>
    </dgm:pt>
    <dgm:pt modelId="{DCFD7AE9-3BF3-4369-9573-21A6CD58396E}" type="sibTrans" cxnId="{1CEF388F-AC3C-4D3C-BBE7-E880C5406754}">
      <dgm:prSet/>
      <dgm:spPr/>
      <dgm:t>
        <a:bodyPr/>
        <a:lstStyle/>
        <a:p>
          <a:endParaRPr lang="es-ES"/>
        </a:p>
      </dgm:t>
    </dgm:pt>
    <dgm:pt modelId="{DBDCC5CC-E040-4F3F-85A7-C378AD62E6EF}">
      <dgm:prSet phldrT="[Texto]"/>
      <dgm:spPr/>
      <dgm:t>
        <a:bodyPr/>
        <a:lstStyle/>
        <a:p>
          <a:r>
            <a:rPr lang="es-ES"/>
            <a:t>proceso de enseñanza-aprendizaje </a:t>
          </a:r>
        </a:p>
      </dgm:t>
    </dgm:pt>
    <dgm:pt modelId="{60BA923B-2FB6-440D-A8A7-C84606A0ECE0}" type="parTrans" cxnId="{FAF86628-7D43-4E94-83AA-47CB9A0CC4C7}">
      <dgm:prSet/>
      <dgm:spPr/>
      <dgm:t>
        <a:bodyPr/>
        <a:lstStyle/>
        <a:p>
          <a:endParaRPr lang="es-ES"/>
        </a:p>
      </dgm:t>
    </dgm:pt>
    <dgm:pt modelId="{041F74D7-BAC4-4EF2-8A75-098FFB984BF0}" type="sibTrans" cxnId="{FAF86628-7D43-4E94-83AA-47CB9A0CC4C7}">
      <dgm:prSet/>
      <dgm:spPr/>
      <dgm:t>
        <a:bodyPr/>
        <a:lstStyle/>
        <a:p>
          <a:endParaRPr lang="es-ES"/>
        </a:p>
      </dgm:t>
    </dgm:pt>
    <dgm:pt modelId="{BD8C48A3-E03F-417A-B840-5C656E348BF6}">
      <dgm:prSet phldrT="[Texto]"/>
      <dgm:spPr/>
      <dgm:t>
        <a:bodyPr anchor="ctr" anchorCtr="0"/>
        <a:lstStyle/>
        <a:p>
          <a:r>
            <a:rPr lang="es-ES"/>
            <a:t>flexibilidad curricular</a:t>
          </a:r>
        </a:p>
      </dgm:t>
    </dgm:pt>
    <dgm:pt modelId="{BECAE4CA-4EA4-40BE-A6D7-DDAE26AC2CA1}" type="parTrans" cxnId="{76B9E515-3283-46AA-9966-786C9852D301}">
      <dgm:prSet/>
      <dgm:spPr/>
      <dgm:t>
        <a:bodyPr/>
        <a:lstStyle/>
        <a:p>
          <a:endParaRPr lang="es-ES"/>
        </a:p>
      </dgm:t>
    </dgm:pt>
    <dgm:pt modelId="{1BA468B2-9908-4B0B-82A4-FA3DACF10460}" type="sibTrans" cxnId="{76B9E515-3283-46AA-9966-786C9852D301}">
      <dgm:prSet/>
      <dgm:spPr/>
      <dgm:t>
        <a:bodyPr/>
        <a:lstStyle/>
        <a:p>
          <a:endParaRPr lang="es-ES"/>
        </a:p>
      </dgm:t>
    </dgm:pt>
    <dgm:pt modelId="{8B7D444F-A10C-48C8-9CFA-9C68024BE4E8}">
      <dgm:prSet phldrT="[Texto]"/>
      <dgm:spPr/>
      <dgm:t>
        <a:bodyPr/>
        <a:lstStyle/>
        <a:p>
          <a:r>
            <a:rPr lang="es-ES"/>
            <a:t>perfil de egreso</a:t>
          </a:r>
        </a:p>
      </dgm:t>
    </dgm:pt>
    <dgm:pt modelId="{A9C6D8F7-DC1B-49FC-B9D8-D8CCC567892F}" type="parTrans" cxnId="{AFFD5173-0955-4879-BFB4-38431D18DC52}">
      <dgm:prSet/>
      <dgm:spPr/>
      <dgm:t>
        <a:bodyPr/>
        <a:lstStyle/>
        <a:p>
          <a:endParaRPr lang="es-ES"/>
        </a:p>
      </dgm:t>
    </dgm:pt>
    <dgm:pt modelId="{020C6283-56A8-43A5-969D-80848FD4E08E}" type="sibTrans" cxnId="{AFFD5173-0955-4879-BFB4-38431D18DC52}">
      <dgm:prSet/>
      <dgm:spPr/>
      <dgm:t>
        <a:bodyPr/>
        <a:lstStyle/>
        <a:p>
          <a:endParaRPr lang="es-ES"/>
        </a:p>
      </dgm:t>
    </dgm:pt>
    <dgm:pt modelId="{71385A69-3506-4140-A736-466BF6085EBD}">
      <dgm:prSet phldrT="[Texto]"/>
      <dgm:spPr/>
      <dgm:t>
        <a:bodyPr/>
        <a:lstStyle/>
        <a:p>
          <a:r>
            <a:rPr lang="es-ES"/>
            <a:t>objetivos</a:t>
          </a:r>
        </a:p>
      </dgm:t>
    </dgm:pt>
    <dgm:pt modelId="{FBD232CD-2EBD-4AC9-82CD-0D98786BCD93}" type="parTrans" cxnId="{4C24BD2F-4424-46F5-AF8D-880A22DD975F}">
      <dgm:prSet/>
      <dgm:spPr/>
      <dgm:t>
        <a:bodyPr/>
        <a:lstStyle/>
        <a:p>
          <a:endParaRPr lang="es-ES"/>
        </a:p>
      </dgm:t>
    </dgm:pt>
    <dgm:pt modelId="{1178BB6A-0555-4C71-BF7A-716984AA772E}" type="sibTrans" cxnId="{4C24BD2F-4424-46F5-AF8D-880A22DD975F}">
      <dgm:prSet/>
      <dgm:spPr/>
      <dgm:t>
        <a:bodyPr/>
        <a:lstStyle/>
        <a:p>
          <a:endParaRPr lang="es-ES"/>
        </a:p>
      </dgm:t>
    </dgm:pt>
    <dgm:pt modelId="{97247295-FA8D-4BEF-A0C4-7544767B9A92}">
      <dgm:prSet phldrT="[Texto]"/>
      <dgm:spPr/>
      <dgm:t>
        <a:bodyPr/>
        <a:lstStyle/>
        <a:p>
          <a:r>
            <a:rPr lang="es-ES"/>
            <a:t>metas</a:t>
          </a:r>
        </a:p>
      </dgm:t>
    </dgm:pt>
    <dgm:pt modelId="{BD1FABF9-D7A9-4419-AA87-06079FC8CE7F}" type="parTrans" cxnId="{B0774B57-1036-4859-8F18-7A0F2370EBB4}">
      <dgm:prSet/>
      <dgm:spPr/>
      <dgm:t>
        <a:bodyPr/>
        <a:lstStyle/>
        <a:p>
          <a:endParaRPr lang="es-ES"/>
        </a:p>
      </dgm:t>
    </dgm:pt>
    <dgm:pt modelId="{81896589-46E3-4BED-B204-BAF7F5C01B60}" type="sibTrans" cxnId="{B0774B57-1036-4859-8F18-7A0F2370EBB4}">
      <dgm:prSet/>
      <dgm:spPr/>
      <dgm:t>
        <a:bodyPr/>
        <a:lstStyle/>
        <a:p>
          <a:endParaRPr lang="es-ES"/>
        </a:p>
      </dgm:t>
    </dgm:pt>
    <dgm:pt modelId="{E7CB486A-C872-49F2-86FF-3EFAD8D98EB6}">
      <dgm:prSet phldrT="[Texto]"/>
      <dgm:spPr/>
      <dgm:t>
        <a:bodyPr/>
        <a:lstStyle/>
        <a:p>
          <a:r>
            <a:rPr lang="es-ES"/>
            <a:t>congruencia del plan de estudios</a:t>
          </a:r>
        </a:p>
      </dgm:t>
    </dgm:pt>
    <dgm:pt modelId="{596CF5EA-A700-4E47-B969-24109E1889E4}" type="parTrans" cxnId="{30117976-50C7-4D54-A0A6-AFA0BAF3CE8D}">
      <dgm:prSet/>
      <dgm:spPr/>
      <dgm:t>
        <a:bodyPr/>
        <a:lstStyle/>
        <a:p>
          <a:endParaRPr lang="es-ES"/>
        </a:p>
      </dgm:t>
    </dgm:pt>
    <dgm:pt modelId="{DC9E7C94-A068-44A7-8299-FFEA0F4D3490}" type="sibTrans" cxnId="{30117976-50C7-4D54-A0A6-AFA0BAF3CE8D}">
      <dgm:prSet/>
      <dgm:spPr/>
      <dgm:t>
        <a:bodyPr/>
        <a:lstStyle/>
        <a:p>
          <a:endParaRPr lang="es-ES"/>
        </a:p>
      </dgm:t>
    </dgm:pt>
    <dgm:pt modelId="{706BB97E-64E4-4AC4-99FD-77D19A1D3A06}">
      <dgm:prSet phldrT="[Texto]"/>
      <dgm:spPr/>
      <dgm:t>
        <a:bodyPr/>
        <a:lstStyle/>
        <a:p>
          <a:r>
            <a:rPr lang="es-ES"/>
            <a:t>organización curricular</a:t>
          </a:r>
        </a:p>
      </dgm:t>
    </dgm:pt>
    <dgm:pt modelId="{13ACACEE-5044-4D07-AC20-87D0F74268A3}" type="parTrans" cxnId="{2F64E88F-ED46-4A25-9320-6EF5B86F55AD}">
      <dgm:prSet/>
      <dgm:spPr/>
      <dgm:t>
        <a:bodyPr/>
        <a:lstStyle/>
        <a:p>
          <a:endParaRPr lang="es-ES"/>
        </a:p>
      </dgm:t>
    </dgm:pt>
    <dgm:pt modelId="{8CBCE295-FDDF-4896-A376-D9271F2368CF}" type="sibTrans" cxnId="{2F64E88F-ED46-4A25-9320-6EF5B86F55AD}">
      <dgm:prSet/>
      <dgm:spPr/>
      <dgm:t>
        <a:bodyPr/>
        <a:lstStyle/>
        <a:p>
          <a:endParaRPr lang="es-ES"/>
        </a:p>
      </dgm:t>
    </dgm:pt>
    <dgm:pt modelId="{787AC100-A926-4F4E-9D7C-CE9BB080038A}">
      <dgm:prSet phldrT="[Texto]"/>
      <dgm:spPr/>
      <dgm:t>
        <a:bodyPr/>
        <a:lstStyle/>
        <a:p>
          <a:r>
            <a:rPr lang="es-ES"/>
            <a:t>requisito de dominio de lenguas extranjeras</a:t>
          </a:r>
        </a:p>
      </dgm:t>
    </dgm:pt>
    <dgm:pt modelId="{BFB3B675-2DB2-4890-A2B7-70ECF2484CA2}" type="parTrans" cxnId="{6812C266-9AC8-495E-B527-2EC9CBC91B32}">
      <dgm:prSet/>
      <dgm:spPr/>
      <dgm:t>
        <a:bodyPr/>
        <a:lstStyle/>
        <a:p>
          <a:endParaRPr lang="es-ES"/>
        </a:p>
      </dgm:t>
    </dgm:pt>
    <dgm:pt modelId="{97F7E26E-8C4B-44F2-A4FA-B40490A14B63}" type="sibTrans" cxnId="{6812C266-9AC8-495E-B527-2EC9CBC91B32}">
      <dgm:prSet/>
      <dgm:spPr/>
      <dgm:t>
        <a:bodyPr/>
        <a:lstStyle/>
        <a:p>
          <a:endParaRPr lang="es-ES"/>
        </a:p>
      </dgm:t>
    </dgm:pt>
    <dgm:pt modelId="{49EF0E7E-192E-40CE-BFCE-CE53C5427812}">
      <dgm:prSet phldrT="[Texto]"/>
      <dgm:spPr/>
      <dgm:t>
        <a:bodyPr/>
        <a:lstStyle/>
        <a:p>
          <a:r>
            <a:rPr lang="es-ES"/>
            <a:t>actualización del plan de estudios</a:t>
          </a:r>
        </a:p>
      </dgm:t>
    </dgm:pt>
    <dgm:pt modelId="{B47AF987-6DE5-4710-8BCF-243A09B52DC1}" type="parTrans" cxnId="{D6F80F9A-C615-42DE-9280-A0FA08E97305}">
      <dgm:prSet/>
      <dgm:spPr/>
      <dgm:t>
        <a:bodyPr/>
        <a:lstStyle/>
        <a:p>
          <a:endParaRPr lang="es-ES"/>
        </a:p>
      </dgm:t>
    </dgm:pt>
    <dgm:pt modelId="{CF91E8E6-A614-43FF-A1AF-0A639A32320E}" type="sibTrans" cxnId="{D6F80F9A-C615-42DE-9280-A0FA08E97305}">
      <dgm:prSet/>
      <dgm:spPr/>
      <dgm:t>
        <a:bodyPr/>
        <a:lstStyle/>
        <a:p>
          <a:endParaRPr lang="es-ES"/>
        </a:p>
      </dgm:t>
    </dgm:pt>
    <dgm:pt modelId="{91D94239-D22E-429F-A97B-C5548BBC39D3}">
      <dgm:prSet phldrT="[Texto]"/>
      <dgm:spPr/>
      <dgm:t>
        <a:bodyPr anchor="ctr" anchorCtr="0"/>
        <a:lstStyle/>
        <a:p>
          <a:r>
            <a:rPr lang="es-ES"/>
            <a:t>evaluación del desempeño académico de los estudiantes</a:t>
          </a:r>
        </a:p>
      </dgm:t>
    </dgm:pt>
    <dgm:pt modelId="{622C0AE6-EE98-4A4A-97EE-75F3C499A69C}" type="parTrans" cxnId="{9770DCCB-2BA9-4FB7-ADFF-7856DB13BB49}">
      <dgm:prSet/>
      <dgm:spPr/>
      <dgm:t>
        <a:bodyPr/>
        <a:lstStyle/>
        <a:p>
          <a:endParaRPr lang="es-ES"/>
        </a:p>
      </dgm:t>
    </dgm:pt>
    <dgm:pt modelId="{F36F0A51-709D-459B-9C0F-B0A87B638077}" type="sibTrans" cxnId="{9770DCCB-2BA9-4FB7-ADFF-7856DB13BB49}">
      <dgm:prSet/>
      <dgm:spPr/>
      <dgm:t>
        <a:bodyPr/>
        <a:lstStyle/>
        <a:p>
          <a:endParaRPr lang="es-ES"/>
        </a:p>
      </dgm:t>
    </dgm:pt>
    <dgm:pt modelId="{05230180-2DDF-4E3D-811E-F32C31467A95}">
      <dgm:prSet phldrT="[Texto]"/>
      <dgm:spPr/>
      <dgm:t>
        <a:bodyPr anchor="ctr" anchorCtr="0"/>
        <a:lstStyle/>
        <a:p>
          <a:r>
            <a:rPr lang="es-ES"/>
            <a:t>tecnologías de información y comunicaciones auxiliares</a:t>
          </a:r>
        </a:p>
      </dgm:t>
    </dgm:pt>
    <dgm:pt modelId="{202F8835-39D3-4A41-B968-7C81BF7000C9}" type="parTrans" cxnId="{55D94657-2670-4D9B-9864-394A1DB8EA2A}">
      <dgm:prSet/>
      <dgm:spPr/>
      <dgm:t>
        <a:bodyPr/>
        <a:lstStyle/>
        <a:p>
          <a:endParaRPr lang="es-ES"/>
        </a:p>
      </dgm:t>
    </dgm:pt>
    <dgm:pt modelId="{12B80FE1-502D-4F63-89B0-6CD15B149F9B}" type="sibTrans" cxnId="{55D94657-2670-4D9B-9864-394A1DB8EA2A}">
      <dgm:prSet/>
      <dgm:spPr/>
      <dgm:t>
        <a:bodyPr/>
        <a:lstStyle/>
        <a:p>
          <a:endParaRPr lang="es-ES"/>
        </a:p>
      </dgm:t>
    </dgm:pt>
    <dgm:pt modelId="{8A1D1EBA-BFD3-468F-ABC1-A2DFCDD3F700}" type="pres">
      <dgm:prSet presAssocID="{70050AF4-1859-4B46-B1EA-E481D8049EEB}" presName="Name0" presStyleCnt="0">
        <dgm:presLayoutVars>
          <dgm:dir/>
          <dgm:animLvl val="lvl"/>
          <dgm:resizeHandles val="exact"/>
        </dgm:presLayoutVars>
      </dgm:prSet>
      <dgm:spPr/>
      <dgm:t>
        <a:bodyPr/>
        <a:lstStyle/>
        <a:p>
          <a:endParaRPr lang="es-ES"/>
        </a:p>
      </dgm:t>
    </dgm:pt>
    <dgm:pt modelId="{DB7C2C9B-FD65-4A22-B133-EF40D77FA79E}" type="pres">
      <dgm:prSet presAssocID="{F27F29B3-0545-4B75-979F-76E438CA2DAF}" presName="composite" presStyleCnt="0"/>
      <dgm:spPr/>
    </dgm:pt>
    <dgm:pt modelId="{A73FD947-9CFD-4E99-8DF5-ACF0FA21C396}" type="pres">
      <dgm:prSet presAssocID="{F27F29B3-0545-4B75-979F-76E438CA2DAF}" presName="parTx" presStyleLbl="alignNode1" presStyleIdx="0" presStyleCnt="2">
        <dgm:presLayoutVars>
          <dgm:chMax val="0"/>
          <dgm:chPref val="0"/>
          <dgm:bulletEnabled val="1"/>
        </dgm:presLayoutVars>
      </dgm:prSet>
      <dgm:spPr/>
      <dgm:t>
        <a:bodyPr/>
        <a:lstStyle/>
        <a:p>
          <a:endParaRPr lang="es-ES"/>
        </a:p>
      </dgm:t>
    </dgm:pt>
    <dgm:pt modelId="{448E77BF-739A-4B4F-AC86-F41C1FC24B7B}" type="pres">
      <dgm:prSet presAssocID="{F27F29B3-0545-4B75-979F-76E438CA2DAF}" presName="desTx" presStyleLbl="alignAccFollowNode1" presStyleIdx="0" presStyleCnt="2">
        <dgm:presLayoutVars>
          <dgm:bulletEnabled val="1"/>
        </dgm:presLayoutVars>
      </dgm:prSet>
      <dgm:spPr/>
      <dgm:t>
        <a:bodyPr/>
        <a:lstStyle/>
        <a:p>
          <a:endParaRPr lang="es-ES"/>
        </a:p>
      </dgm:t>
    </dgm:pt>
    <dgm:pt modelId="{284BAAAA-7044-417F-8751-A919AAA25E8D}" type="pres">
      <dgm:prSet presAssocID="{D15F2C40-5403-4118-A6C6-E9503C4768EF}" presName="space" presStyleCnt="0"/>
      <dgm:spPr/>
    </dgm:pt>
    <dgm:pt modelId="{47A50CC5-8F7A-4F6C-B0C1-D3253BA9D4C1}" type="pres">
      <dgm:prSet presAssocID="{DBDCC5CC-E040-4F3F-85A7-C378AD62E6EF}" presName="composite" presStyleCnt="0"/>
      <dgm:spPr/>
    </dgm:pt>
    <dgm:pt modelId="{B0ADF75F-D637-4FE2-BA14-94C523D9CBBC}" type="pres">
      <dgm:prSet presAssocID="{DBDCC5CC-E040-4F3F-85A7-C378AD62E6EF}" presName="parTx" presStyleLbl="alignNode1" presStyleIdx="1" presStyleCnt="2">
        <dgm:presLayoutVars>
          <dgm:chMax val="0"/>
          <dgm:chPref val="0"/>
          <dgm:bulletEnabled val="1"/>
        </dgm:presLayoutVars>
      </dgm:prSet>
      <dgm:spPr/>
      <dgm:t>
        <a:bodyPr/>
        <a:lstStyle/>
        <a:p>
          <a:endParaRPr lang="es-ES"/>
        </a:p>
      </dgm:t>
    </dgm:pt>
    <dgm:pt modelId="{A6E70752-F527-4898-BDBE-FD485E7F20C4}" type="pres">
      <dgm:prSet presAssocID="{DBDCC5CC-E040-4F3F-85A7-C378AD62E6EF}" presName="desTx" presStyleLbl="alignAccFollowNode1" presStyleIdx="1" presStyleCnt="2">
        <dgm:presLayoutVars>
          <dgm:bulletEnabled val="1"/>
        </dgm:presLayoutVars>
      </dgm:prSet>
      <dgm:spPr/>
      <dgm:t>
        <a:bodyPr/>
        <a:lstStyle/>
        <a:p>
          <a:endParaRPr lang="es-ES"/>
        </a:p>
      </dgm:t>
    </dgm:pt>
  </dgm:ptLst>
  <dgm:cxnLst>
    <dgm:cxn modelId="{6812C266-9AC8-495E-B527-2EC9CBC91B32}" srcId="{F27F29B3-0545-4B75-979F-76E438CA2DAF}" destId="{787AC100-A926-4F4E-9D7C-CE9BB080038A}" srcOrd="6" destOrd="0" parTransId="{BFB3B675-2DB2-4890-A2B7-70ECF2484CA2}" sibTransId="{97F7E26E-8C4B-44F2-A4FA-B40490A14B63}"/>
    <dgm:cxn modelId="{AFFD5173-0955-4879-BFB4-38431D18DC52}" srcId="{F27F29B3-0545-4B75-979F-76E438CA2DAF}" destId="{8B7D444F-A10C-48C8-9CFA-9C68024BE4E8}" srcOrd="1" destOrd="0" parTransId="{A9C6D8F7-DC1B-49FC-B9D8-D8CCC567892F}" sibTransId="{020C6283-56A8-43A5-969D-80848FD4E08E}"/>
    <dgm:cxn modelId="{08617BFA-FB69-478D-BF19-6EBFD3523C7A}" type="presOf" srcId="{E7CB486A-C872-49F2-86FF-3EFAD8D98EB6}" destId="{448E77BF-739A-4B4F-AC86-F41C1FC24B7B}" srcOrd="0" destOrd="4" presId="urn:microsoft.com/office/officeart/2005/8/layout/hList1"/>
    <dgm:cxn modelId="{284D2D77-C846-42BD-8C27-B15633207DCE}" type="presOf" srcId="{97247295-FA8D-4BEF-A0C4-7544767B9A92}" destId="{448E77BF-739A-4B4F-AC86-F41C1FC24B7B}" srcOrd="0" destOrd="3" presId="urn:microsoft.com/office/officeart/2005/8/layout/hList1"/>
    <dgm:cxn modelId="{BF6F74E5-9AEE-4048-9533-B8B00E7DEBA0}" type="presOf" srcId="{706BB97E-64E4-4AC4-99FD-77D19A1D3A06}" destId="{448E77BF-739A-4B4F-AC86-F41C1FC24B7B}" srcOrd="0" destOrd="5" presId="urn:microsoft.com/office/officeart/2005/8/layout/hList1"/>
    <dgm:cxn modelId="{76B9E515-3283-46AA-9966-786C9852D301}" srcId="{DBDCC5CC-E040-4F3F-85A7-C378AD62E6EF}" destId="{BD8C48A3-E03F-417A-B840-5C656E348BF6}" srcOrd="0" destOrd="0" parTransId="{BECAE4CA-4EA4-40BE-A6D7-DDAE26AC2CA1}" sibTransId="{1BA468B2-9908-4B0B-82A4-FA3DACF10460}"/>
    <dgm:cxn modelId="{CA7FCBD7-8C8E-4F10-A9E1-93913888901B}" type="presOf" srcId="{91D94239-D22E-429F-A97B-C5548BBC39D3}" destId="{A6E70752-F527-4898-BDBE-FD485E7F20C4}" srcOrd="0" destOrd="1" presId="urn:microsoft.com/office/officeart/2005/8/layout/hList1"/>
    <dgm:cxn modelId="{55D94657-2670-4D9B-9864-394A1DB8EA2A}" srcId="{DBDCC5CC-E040-4F3F-85A7-C378AD62E6EF}" destId="{05230180-2DDF-4E3D-811E-F32C31467A95}" srcOrd="2" destOrd="0" parTransId="{202F8835-39D3-4A41-B968-7C81BF7000C9}" sibTransId="{12B80FE1-502D-4F63-89B0-6CD15B149F9B}"/>
    <dgm:cxn modelId="{16F588BB-687C-4DC4-AEC3-8B7061656FE8}" srcId="{70050AF4-1859-4B46-B1EA-E481D8049EEB}" destId="{F27F29B3-0545-4B75-979F-76E438CA2DAF}" srcOrd="0" destOrd="0" parTransId="{0C90D1AF-B288-4E1A-986A-EE3E8A309B75}" sibTransId="{D15F2C40-5403-4118-A6C6-E9503C4768EF}"/>
    <dgm:cxn modelId="{B9A4EF96-2097-45B6-BD44-913F926B0E63}" type="presOf" srcId="{F27F29B3-0545-4B75-979F-76E438CA2DAF}" destId="{A73FD947-9CFD-4E99-8DF5-ACF0FA21C396}" srcOrd="0" destOrd="0" presId="urn:microsoft.com/office/officeart/2005/8/layout/hList1"/>
    <dgm:cxn modelId="{1CEF388F-AC3C-4D3C-BBE7-E880C5406754}" srcId="{F27F29B3-0545-4B75-979F-76E438CA2DAF}" destId="{E54E75A9-F243-46C1-B64F-950DBBA41695}" srcOrd="0" destOrd="0" parTransId="{EBBF7A86-EF49-4242-B6FD-6A33B51F69DB}" sibTransId="{DCFD7AE9-3BF3-4369-9573-21A6CD58396E}"/>
    <dgm:cxn modelId="{30117976-50C7-4D54-A0A6-AFA0BAF3CE8D}" srcId="{F27F29B3-0545-4B75-979F-76E438CA2DAF}" destId="{E7CB486A-C872-49F2-86FF-3EFAD8D98EB6}" srcOrd="4" destOrd="0" parTransId="{596CF5EA-A700-4E47-B969-24109E1889E4}" sibTransId="{DC9E7C94-A068-44A7-8299-FFEA0F4D3490}"/>
    <dgm:cxn modelId="{4C24BD2F-4424-46F5-AF8D-880A22DD975F}" srcId="{F27F29B3-0545-4B75-979F-76E438CA2DAF}" destId="{71385A69-3506-4140-A736-466BF6085EBD}" srcOrd="2" destOrd="0" parTransId="{FBD232CD-2EBD-4AC9-82CD-0D98786BCD93}" sibTransId="{1178BB6A-0555-4C71-BF7A-716984AA772E}"/>
    <dgm:cxn modelId="{5120C11A-F26B-48DD-A1C8-B534E18A74AC}" type="presOf" srcId="{8B7D444F-A10C-48C8-9CFA-9C68024BE4E8}" destId="{448E77BF-739A-4B4F-AC86-F41C1FC24B7B}" srcOrd="0" destOrd="1" presId="urn:microsoft.com/office/officeart/2005/8/layout/hList1"/>
    <dgm:cxn modelId="{3141DF07-713F-45BD-BB4F-0FCDE99895A0}" type="presOf" srcId="{787AC100-A926-4F4E-9D7C-CE9BB080038A}" destId="{448E77BF-739A-4B4F-AC86-F41C1FC24B7B}" srcOrd="0" destOrd="6" presId="urn:microsoft.com/office/officeart/2005/8/layout/hList1"/>
    <dgm:cxn modelId="{2F64E88F-ED46-4A25-9320-6EF5B86F55AD}" srcId="{F27F29B3-0545-4B75-979F-76E438CA2DAF}" destId="{706BB97E-64E4-4AC4-99FD-77D19A1D3A06}" srcOrd="5" destOrd="0" parTransId="{13ACACEE-5044-4D07-AC20-87D0F74268A3}" sibTransId="{8CBCE295-FDDF-4896-A376-D9271F2368CF}"/>
    <dgm:cxn modelId="{54D6BAF3-C910-4DAB-B3F6-CFE7DDB2C39C}" type="presOf" srcId="{DBDCC5CC-E040-4F3F-85A7-C378AD62E6EF}" destId="{B0ADF75F-D637-4FE2-BA14-94C523D9CBBC}" srcOrd="0" destOrd="0" presId="urn:microsoft.com/office/officeart/2005/8/layout/hList1"/>
    <dgm:cxn modelId="{9770DCCB-2BA9-4FB7-ADFF-7856DB13BB49}" srcId="{DBDCC5CC-E040-4F3F-85A7-C378AD62E6EF}" destId="{91D94239-D22E-429F-A97B-C5548BBC39D3}" srcOrd="1" destOrd="0" parTransId="{622C0AE6-EE98-4A4A-97EE-75F3C499A69C}" sibTransId="{F36F0A51-709D-459B-9C0F-B0A87B638077}"/>
    <dgm:cxn modelId="{CE5AF290-5FDF-4017-B9C3-BAD7091AF82F}" type="presOf" srcId="{E54E75A9-F243-46C1-B64F-950DBBA41695}" destId="{448E77BF-739A-4B4F-AC86-F41C1FC24B7B}" srcOrd="0" destOrd="0" presId="urn:microsoft.com/office/officeart/2005/8/layout/hList1"/>
    <dgm:cxn modelId="{C689A1DB-CEC7-470D-BF39-E181EF7B79BD}" type="presOf" srcId="{71385A69-3506-4140-A736-466BF6085EBD}" destId="{448E77BF-739A-4B4F-AC86-F41C1FC24B7B}" srcOrd="0" destOrd="2" presId="urn:microsoft.com/office/officeart/2005/8/layout/hList1"/>
    <dgm:cxn modelId="{9394BA3A-4370-44B7-B672-F8CF4DB9E194}" type="presOf" srcId="{BD8C48A3-E03F-417A-B840-5C656E348BF6}" destId="{A6E70752-F527-4898-BDBE-FD485E7F20C4}" srcOrd="0" destOrd="0" presId="urn:microsoft.com/office/officeart/2005/8/layout/hList1"/>
    <dgm:cxn modelId="{FAF86628-7D43-4E94-83AA-47CB9A0CC4C7}" srcId="{70050AF4-1859-4B46-B1EA-E481D8049EEB}" destId="{DBDCC5CC-E040-4F3F-85A7-C378AD62E6EF}" srcOrd="1" destOrd="0" parTransId="{60BA923B-2FB6-440D-A8A7-C84606A0ECE0}" sibTransId="{041F74D7-BAC4-4EF2-8A75-098FFB984BF0}"/>
    <dgm:cxn modelId="{29F7EEC4-D8A9-4046-B6D4-B12988B803A4}" type="presOf" srcId="{49EF0E7E-192E-40CE-BFCE-CE53C5427812}" destId="{448E77BF-739A-4B4F-AC86-F41C1FC24B7B}" srcOrd="0" destOrd="7" presId="urn:microsoft.com/office/officeart/2005/8/layout/hList1"/>
    <dgm:cxn modelId="{F9D3D657-49F1-4E13-A81B-E7A03FF9DA33}" type="presOf" srcId="{05230180-2DDF-4E3D-811E-F32C31467A95}" destId="{A6E70752-F527-4898-BDBE-FD485E7F20C4}" srcOrd="0" destOrd="2" presId="urn:microsoft.com/office/officeart/2005/8/layout/hList1"/>
    <dgm:cxn modelId="{D6F80F9A-C615-42DE-9280-A0FA08E97305}" srcId="{F27F29B3-0545-4B75-979F-76E438CA2DAF}" destId="{49EF0E7E-192E-40CE-BFCE-CE53C5427812}" srcOrd="7" destOrd="0" parTransId="{B47AF987-6DE5-4710-8BCF-243A09B52DC1}" sibTransId="{CF91E8E6-A614-43FF-A1AF-0A639A32320E}"/>
    <dgm:cxn modelId="{B0774B57-1036-4859-8F18-7A0F2370EBB4}" srcId="{F27F29B3-0545-4B75-979F-76E438CA2DAF}" destId="{97247295-FA8D-4BEF-A0C4-7544767B9A92}" srcOrd="3" destOrd="0" parTransId="{BD1FABF9-D7A9-4419-AA87-06079FC8CE7F}" sibTransId="{81896589-46E3-4BED-B204-BAF7F5C01B60}"/>
    <dgm:cxn modelId="{441A88F7-FA5C-4E88-B2D6-4DB49F04B9CE}" type="presOf" srcId="{70050AF4-1859-4B46-B1EA-E481D8049EEB}" destId="{8A1D1EBA-BFD3-468F-ABC1-A2DFCDD3F700}" srcOrd="0" destOrd="0" presId="urn:microsoft.com/office/officeart/2005/8/layout/hList1"/>
    <dgm:cxn modelId="{F322DCBA-BD14-4469-984F-D9D0BFC196FA}" type="presParOf" srcId="{8A1D1EBA-BFD3-468F-ABC1-A2DFCDD3F700}" destId="{DB7C2C9B-FD65-4A22-B133-EF40D77FA79E}" srcOrd="0" destOrd="0" presId="urn:microsoft.com/office/officeart/2005/8/layout/hList1"/>
    <dgm:cxn modelId="{056A2E4D-128B-4ACC-B520-F47F2D3D1EAE}" type="presParOf" srcId="{DB7C2C9B-FD65-4A22-B133-EF40D77FA79E}" destId="{A73FD947-9CFD-4E99-8DF5-ACF0FA21C396}" srcOrd="0" destOrd="0" presId="urn:microsoft.com/office/officeart/2005/8/layout/hList1"/>
    <dgm:cxn modelId="{99C5EE82-714D-4991-88D2-48A3D4902EC8}" type="presParOf" srcId="{DB7C2C9B-FD65-4A22-B133-EF40D77FA79E}" destId="{448E77BF-739A-4B4F-AC86-F41C1FC24B7B}" srcOrd="1" destOrd="0" presId="urn:microsoft.com/office/officeart/2005/8/layout/hList1"/>
    <dgm:cxn modelId="{44534F4B-74EA-4FA6-A9D9-A78E75B24419}" type="presParOf" srcId="{8A1D1EBA-BFD3-468F-ABC1-A2DFCDD3F700}" destId="{284BAAAA-7044-417F-8751-A919AAA25E8D}" srcOrd="1" destOrd="0" presId="urn:microsoft.com/office/officeart/2005/8/layout/hList1"/>
    <dgm:cxn modelId="{990DC26C-B7EA-4256-AB8C-1C0F8C903457}" type="presParOf" srcId="{8A1D1EBA-BFD3-468F-ABC1-A2DFCDD3F700}" destId="{47A50CC5-8F7A-4F6C-B0C1-D3253BA9D4C1}" srcOrd="2" destOrd="0" presId="urn:microsoft.com/office/officeart/2005/8/layout/hList1"/>
    <dgm:cxn modelId="{F100B59B-8330-47E2-83BF-23B97FB2B12E}" type="presParOf" srcId="{47A50CC5-8F7A-4F6C-B0C1-D3253BA9D4C1}" destId="{B0ADF75F-D637-4FE2-BA14-94C523D9CBBC}" srcOrd="0" destOrd="0" presId="urn:microsoft.com/office/officeart/2005/8/layout/hList1"/>
    <dgm:cxn modelId="{C6F8CC3B-16CD-4453-A584-F48B21CED901}" type="presParOf" srcId="{47A50CC5-8F7A-4F6C-B0C1-D3253BA9D4C1}" destId="{A6E70752-F527-4898-BDBE-FD485E7F20C4}" srcOrd="1" destOrd="0" presId="urn:microsoft.com/office/officeart/2005/8/layout/h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AB0918-CBDF-46C8-86B6-EC93E56B65E9}">
      <dsp:nvSpPr>
        <dsp:cNvPr id="0" name=""/>
        <dsp:cNvSpPr/>
      </dsp:nvSpPr>
      <dsp:spPr>
        <a:xfrm>
          <a:off x="2274527" y="581296"/>
          <a:ext cx="2019561" cy="260287"/>
        </a:xfrm>
        <a:custGeom>
          <a:avLst/>
          <a:gdLst/>
          <a:ahLst/>
          <a:cxnLst/>
          <a:rect l="0" t="0" r="0" b="0"/>
          <a:pathLst>
            <a:path>
              <a:moveTo>
                <a:pt x="0" y="0"/>
              </a:moveTo>
              <a:lnTo>
                <a:pt x="0" y="175595"/>
              </a:lnTo>
              <a:lnTo>
                <a:pt x="2019561" y="175595"/>
              </a:lnTo>
              <a:lnTo>
                <a:pt x="2019561" y="2602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DA3FE4-E416-4154-AEA0-11CF09214110}">
      <dsp:nvSpPr>
        <dsp:cNvPr id="0" name=""/>
        <dsp:cNvSpPr/>
      </dsp:nvSpPr>
      <dsp:spPr>
        <a:xfrm>
          <a:off x="2081024" y="1444314"/>
          <a:ext cx="550357" cy="280303"/>
        </a:xfrm>
        <a:custGeom>
          <a:avLst/>
          <a:gdLst/>
          <a:ahLst/>
          <a:cxnLst/>
          <a:rect l="0" t="0" r="0" b="0"/>
          <a:pathLst>
            <a:path>
              <a:moveTo>
                <a:pt x="0" y="0"/>
              </a:moveTo>
              <a:lnTo>
                <a:pt x="0" y="195612"/>
              </a:lnTo>
              <a:lnTo>
                <a:pt x="550357" y="195612"/>
              </a:lnTo>
              <a:lnTo>
                <a:pt x="550357" y="2803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6156A5-DB3C-406E-82E1-0B876E41CD03}">
      <dsp:nvSpPr>
        <dsp:cNvPr id="0" name=""/>
        <dsp:cNvSpPr/>
      </dsp:nvSpPr>
      <dsp:spPr>
        <a:xfrm>
          <a:off x="1514010" y="1444314"/>
          <a:ext cx="567014" cy="280303"/>
        </a:xfrm>
        <a:custGeom>
          <a:avLst/>
          <a:gdLst/>
          <a:ahLst/>
          <a:cxnLst/>
          <a:rect l="0" t="0" r="0" b="0"/>
          <a:pathLst>
            <a:path>
              <a:moveTo>
                <a:pt x="567014" y="0"/>
              </a:moveTo>
              <a:lnTo>
                <a:pt x="567014" y="195612"/>
              </a:lnTo>
              <a:lnTo>
                <a:pt x="0" y="195612"/>
              </a:lnTo>
              <a:lnTo>
                <a:pt x="0" y="2803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CF9D9-D443-4C08-A09E-42D2E1D2BE6C}">
      <dsp:nvSpPr>
        <dsp:cNvPr id="0" name=""/>
        <dsp:cNvSpPr/>
      </dsp:nvSpPr>
      <dsp:spPr>
        <a:xfrm>
          <a:off x="2081024" y="581296"/>
          <a:ext cx="193503" cy="251712"/>
        </a:xfrm>
        <a:custGeom>
          <a:avLst/>
          <a:gdLst/>
          <a:ahLst/>
          <a:cxnLst/>
          <a:rect l="0" t="0" r="0" b="0"/>
          <a:pathLst>
            <a:path>
              <a:moveTo>
                <a:pt x="193503" y="0"/>
              </a:moveTo>
              <a:lnTo>
                <a:pt x="193503" y="167021"/>
              </a:lnTo>
              <a:lnTo>
                <a:pt x="0" y="167021"/>
              </a:lnTo>
              <a:lnTo>
                <a:pt x="0" y="251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668A25-8223-4AA6-A3D2-2602F32EE32F}">
      <dsp:nvSpPr>
        <dsp:cNvPr id="0" name=""/>
        <dsp:cNvSpPr/>
      </dsp:nvSpPr>
      <dsp:spPr>
        <a:xfrm>
          <a:off x="1858972" y="771"/>
          <a:ext cx="831110" cy="580525"/>
        </a:xfrm>
        <a:prstGeom prst="wav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A55FD4-F93B-48B0-979A-70A2CF84AE6E}">
      <dsp:nvSpPr>
        <dsp:cNvPr id="0" name=""/>
        <dsp:cNvSpPr/>
      </dsp:nvSpPr>
      <dsp:spPr>
        <a:xfrm>
          <a:off x="1960551" y="97271"/>
          <a:ext cx="831110" cy="580525"/>
        </a:xfrm>
        <a:prstGeom prst="wav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rPr>
            <a:t>PFPN</a:t>
          </a:r>
        </a:p>
      </dsp:txBody>
      <dsp:txXfrm>
        <a:off x="1960551" y="242402"/>
        <a:ext cx="831110" cy="290263"/>
      </dsp:txXfrm>
    </dsp:sp>
    <dsp:sp modelId="{F3EB4314-A224-49B2-9DD2-AE79A1FD0269}">
      <dsp:nvSpPr>
        <dsp:cNvPr id="0" name=""/>
        <dsp:cNvSpPr/>
      </dsp:nvSpPr>
      <dsp:spPr>
        <a:xfrm>
          <a:off x="1228301" y="833009"/>
          <a:ext cx="1705445" cy="611304"/>
        </a:xfrm>
        <a:prstGeom prst="star3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C1C95E-CC97-4F97-B8EB-230D62F30226}">
      <dsp:nvSpPr>
        <dsp:cNvPr id="0" name=""/>
        <dsp:cNvSpPr/>
      </dsp:nvSpPr>
      <dsp:spPr>
        <a:xfrm>
          <a:off x="1329880" y="929510"/>
          <a:ext cx="1705445" cy="611304"/>
        </a:xfrm>
        <a:prstGeom prst="star32">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rPr>
            <a:t>PNP</a:t>
          </a:r>
        </a:p>
      </dsp:txBody>
      <dsp:txXfrm>
        <a:off x="1730378" y="1073066"/>
        <a:ext cx="904449" cy="324192"/>
      </dsp:txXfrm>
    </dsp:sp>
    <dsp:sp modelId="{380E2EAD-DF0D-4C0B-A878-84C292EE21FC}">
      <dsp:nvSpPr>
        <dsp:cNvPr id="0" name=""/>
        <dsp:cNvSpPr/>
      </dsp:nvSpPr>
      <dsp:spPr>
        <a:xfrm>
          <a:off x="1056904" y="1724618"/>
          <a:ext cx="914212" cy="580525"/>
        </a:xfrm>
        <a:prstGeom prst="star1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5B0B59-52E4-45B7-8C8B-E3247E215FF1}">
      <dsp:nvSpPr>
        <dsp:cNvPr id="0" name=""/>
        <dsp:cNvSpPr/>
      </dsp:nvSpPr>
      <dsp:spPr>
        <a:xfrm>
          <a:off x="1158483" y="1821118"/>
          <a:ext cx="914212" cy="580525"/>
        </a:xfrm>
        <a:prstGeom prst="star1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rPr>
            <a:t>NIVEL INTERNACIONAL</a:t>
          </a:r>
        </a:p>
      </dsp:txBody>
      <dsp:txXfrm>
        <a:off x="1284820" y="1966247"/>
        <a:ext cx="661538" cy="290267"/>
      </dsp:txXfrm>
    </dsp:sp>
    <dsp:sp modelId="{CA3DA2A2-2DA2-417B-9CBB-8C22C4A75AAB}">
      <dsp:nvSpPr>
        <dsp:cNvPr id="0" name=""/>
        <dsp:cNvSpPr/>
      </dsp:nvSpPr>
      <dsp:spPr>
        <a:xfrm>
          <a:off x="2174275" y="1724618"/>
          <a:ext cx="914212" cy="580525"/>
        </a:xfrm>
        <a:prstGeom prst="star1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EAA40E-6828-498F-91D6-9FB9CEBEA7D7}">
      <dsp:nvSpPr>
        <dsp:cNvPr id="0" name=""/>
        <dsp:cNvSpPr/>
      </dsp:nvSpPr>
      <dsp:spPr>
        <a:xfrm>
          <a:off x="2275854" y="1821118"/>
          <a:ext cx="914212" cy="580525"/>
        </a:xfrm>
        <a:prstGeom prst="star1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rPr>
            <a:t>ALTO NIVEL</a:t>
          </a:r>
        </a:p>
      </dsp:txBody>
      <dsp:txXfrm>
        <a:off x="2402191" y="1966247"/>
        <a:ext cx="661538" cy="290267"/>
      </dsp:txXfrm>
    </dsp:sp>
    <dsp:sp modelId="{BC50D9F2-F793-45BA-BF7B-14686DE4928A}">
      <dsp:nvSpPr>
        <dsp:cNvPr id="0" name=""/>
        <dsp:cNvSpPr/>
      </dsp:nvSpPr>
      <dsp:spPr>
        <a:xfrm>
          <a:off x="3836982" y="841584"/>
          <a:ext cx="914212" cy="580525"/>
        </a:xfrm>
        <a:prstGeom prst="lef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DC10EF-D0ED-423B-9F6F-4393AD166F3D}">
      <dsp:nvSpPr>
        <dsp:cNvPr id="0" name=""/>
        <dsp:cNvSpPr/>
      </dsp:nvSpPr>
      <dsp:spPr>
        <a:xfrm>
          <a:off x="3938562" y="938084"/>
          <a:ext cx="914212" cy="580525"/>
        </a:xfrm>
        <a:prstGeom prst="leftArrow">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solidFill>
            </a:rPr>
            <a:t>PIFOP</a:t>
          </a:r>
        </a:p>
      </dsp:txBody>
      <dsp:txXfrm>
        <a:off x="4083693" y="1083215"/>
        <a:ext cx="769081" cy="2902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F0716-31EB-49B0-8FDD-7A8558ECE0F0}">
      <dsp:nvSpPr>
        <dsp:cNvPr id="0" name=""/>
        <dsp:cNvSpPr/>
      </dsp:nvSpPr>
      <dsp:spPr>
        <a:xfrm>
          <a:off x="4190104" y="1111154"/>
          <a:ext cx="469720" cy="211232"/>
        </a:xfrm>
        <a:custGeom>
          <a:avLst/>
          <a:gdLst/>
          <a:ahLst/>
          <a:cxnLst/>
          <a:rect l="0" t="0" r="0" b="0"/>
          <a:pathLst>
            <a:path>
              <a:moveTo>
                <a:pt x="0" y="0"/>
              </a:moveTo>
              <a:lnTo>
                <a:pt x="0" y="138572"/>
              </a:lnTo>
              <a:lnTo>
                <a:pt x="469720" y="138572"/>
              </a:lnTo>
              <a:lnTo>
                <a:pt x="469720" y="2112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C5C730-8371-4BC0-8E81-934A23BF0619}">
      <dsp:nvSpPr>
        <dsp:cNvPr id="0" name=""/>
        <dsp:cNvSpPr/>
      </dsp:nvSpPr>
      <dsp:spPr>
        <a:xfrm>
          <a:off x="3819226" y="1111154"/>
          <a:ext cx="370878" cy="211232"/>
        </a:xfrm>
        <a:custGeom>
          <a:avLst/>
          <a:gdLst/>
          <a:ahLst/>
          <a:cxnLst/>
          <a:rect l="0" t="0" r="0" b="0"/>
          <a:pathLst>
            <a:path>
              <a:moveTo>
                <a:pt x="370878" y="0"/>
              </a:moveTo>
              <a:lnTo>
                <a:pt x="370878" y="138572"/>
              </a:lnTo>
              <a:lnTo>
                <a:pt x="0" y="138572"/>
              </a:lnTo>
              <a:lnTo>
                <a:pt x="0" y="2112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B0918-CBDF-46C8-86B6-EC93E56B65E9}">
      <dsp:nvSpPr>
        <dsp:cNvPr id="0" name=""/>
        <dsp:cNvSpPr/>
      </dsp:nvSpPr>
      <dsp:spPr>
        <a:xfrm>
          <a:off x="2190707" y="499113"/>
          <a:ext cx="1999397" cy="251509"/>
        </a:xfrm>
        <a:custGeom>
          <a:avLst/>
          <a:gdLst/>
          <a:ahLst/>
          <a:cxnLst/>
          <a:rect l="0" t="0" r="0" b="0"/>
          <a:pathLst>
            <a:path>
              <a:moveTo>
                <a:pt x="0" y="0"/>
              </a:moveTo>
              <a:lnTo>
                <a:pt x="0" y="178849"/>
              </a:lnTo>
              <a:lnTo>
                <a:pt x="1999397" y="178849"/>
              </a:lnTo>
              <a:lnTo>
                <a:pt x="1999397" y="2515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DA3FE4-E416-4154-AEA0-11CF09214110}">
      <dsp:nvSpPr>
        <dsp:cNvPr id="0" name=""/>
        <dsp:cNvSpPr/>
      </dsp:nvSpPr>
      <dsp:spPr>
        <a:xfrm>
          <a:off x="2156514" y="1254010"/>
          <a:ext cx="459802" cy="227273"/>
        </a:xfrm>
        <a:custGeom>
          <a:avLst/>
          <a:gdLst/>
          <a:ahLst/>
          <a:cxnLst/>
          <a:rect l="0" t="0" r="0" b="0"/>
          <a:pathLst>
            <a:path>
              <a:moveTo>
                <a:pt x="0" y="0"/>
              </a:moveTo>
              <a:lnTo>
                <a:pt x="0" y="154613"/>
              </a:lnTo>
              <a:lnTo>
                <a:pt x="459802" y="154613"/>
              </a:lnTo>
              <a:lnTo>
                <a:pt x="459802" y="227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6156A5-DB3C-406E-82E1-0B876E41CD03}">
      <dsp:nvSpPr>
        <dsp:cNvPr id="0" name=""/>
        <dsp:cNvSpPr/>
      </dsp:nvSpPr>
      <dsp:spPr>
        <a:xfrm>
          <a:off x="1657683" y="1254010"/>
          <a:ext cx="498830" cy="227273"/>
        </a:xfrm>
        <a:custGeom>
          <a:avLst/>
          <a:gdLst/>
          <a:ahLst/>
          <a:cxnLst/>
          <a:rect l="0" t="0" r="0" b="0"/>
          <a:pathLst>
            <a:path>
              <a:moveTo>
                <a:pt x="498830" y="0"/>
              </a:moveTo>
              <a:lnTo>
                <a:pt x="498830" y="154613"/>
              </a:lnTo>
              <a:lnTo>
                <a:pt x="0" y="154613"/>
              </a:lnTo>
              <a:lnTo>
                <a:pt x="0" y="227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CF9D9-D443-4C08-A09E-42D2E1D2BE6C}">
      <dsp:nvSpPr>
        <dsp:cNvPr id="0" name=""/>
        <dsp:cNvSpPr/>
      </dsp:nvSpPr>
      <dsp:spPr>
        <a:xfrm>
          <a:off x="2110794" y="499113"/>
          <a:ext cx="91440" cy="230436"/>
        </a:xfrm>
        <a:custGeom>
          <a:avLst/>
          <a:gdLst/>
          <a:ahLst/>
          <a:cxnLst/>
          <a:rect l="0" t="0" r="0" b="0"/>
          <a:pathLst>
            <a:path>
              <a:moveTo>
                <a:pt x="79912" y="0"/>
              </a:moveTo>
              <a:lnTo>
                <a:pt x="79912" y="157776"/>
              </a:lnTo>
              <a:lnTo>
                <a:pt x="45720" y="157776"/>
              </a:lnTo>
              <a:lnTo>
                <a:pt x="45720" y="2304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668A25-8223-4AA6-A3D2-2602F32EE32F}">
      <dsp:nvSpPr>
        <dsp:cNvPr id="0" name=""/>
        <dsp:cNvSpPr/>
      </dsp:nvSpPr>
      <dsp:spPr>
        <a:xfrm>
          <a:off x="1834187" y="1060"/>
          <a:ext cx="713039" cy="498053"/>
        </a:xfrm>
        <a:prstGeom prst="wav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A55FD4-F93B-48B0-979A-70A2CF84AE6E}">
      <dsp:nvSpPr>
        <dsp:cNvPr id="0" name=""/>
        <dsp:cNvSpPr/>
      </dsp:nvSpPr>
      <dsp:spPr>
        <a:xfrm>
          <a:off x="1921335" y="83851"/>
          <a:ext cx="713039" cy="498053"/>
        </a:xfrm>
        <a:prstGeom prst="wav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rgbClr val="FFFF00"/>
              </a:solidFill>
            </a:rPr>
            <a:t>PNPC</a:t>
          </a:r>
        </a:p>
      </dsp:txBody>
      <dsp:txXfrm>
        <a:off x="1921335" y="208364"/>
        <a:ext cx="713039" cy="249027"/>
      </dsp:txXfrm>
    </dsp:sp>
    <dsp:sp modelId="{F3EB4314-A224-49B2-9DD2-AE79A1FD0269}">
      <dsp:nvSpPr>
        <dsp:cNvPr id="0" name=""/>
        <dsp:cNvSpPr/>
      </dsp:nvSpPr>
      <dsp:spPr>
        <a:xfrm>
          <a:off x="1424932" y="729550"/>
          <a:ext cx="1463163" cy="524460"/>
        </a:xfrm>
        <a:prstGeom prst="star3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C1C95E-CC97-4F97-B8EB-230D62F30226}">
      <dsp:nvSpPr>
        <dsp:cNvPr id="0" name=""/>
        <dsp:cNvSpPr/>
      </dsp:nvSpPr>
      <dsp:spPr>
        <a:xfrm>
          <a:off x="1512081" y="812341"/>
          <a:ext cx="1463163" cy="524460"/>
        </a:xfrm>
        <a:prstGeom prst="star32">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rgbClr val="FFFF00"/>
              </a:solidFill>
            </a:rPr>
            <a:t>PNP</a:t>
          </a:r>
        </a:p>
      </dsp:txBody>
      <dsp:txXfrm>
        <a:off x="1855683" y="935503"/>
        <a:ext cx="775959" cy="278136"/>
      </dsp:txXfrm>
    </dsp:sp>
    <dsp:sp modelId="{380E2EAD-DF0D-4C0B-A878-84C292EE21FC}">
      <dsp:nvSpPr>
        <dsp:cNvPr id="0" name=""/>
        <dsp:cNvSpPr/>
      </dsp:nvSpPr>
      <dsp:spPr>
        <a:xfrm>
          <a:off x="1265515" y="1481284"/>
          <a:ext cx="784335" cy="498053"/>
        </a:xfrm>
        <a:prstGeom prst="star1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5B0B59-52E4-45B7-8C8B-E3247E215FF1}">
      <dsp:nvSpPr>
        <dsp:cNvPr id="0" name=""/>
        <dsp:cNvSpPr/>
      </dsp:nvSpPr>
      <dsp:spPr>
        <a:xfrm>
          <a:off x="1352663" y="1564075"/>
          <a:ext cx="784335" cy="498053"/>
        </a:xfrm>
        <a:prstGeom prst="star1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rgbClr val="FFFF00"/>
              </a:solidFill>
            </a:rPr>
            <a:t>COMPETENCIA INTERNACIONAL</a:t>
          </a:r>
        </a:p>
      </dsp:txBody>
      <dsp:txXfrm>
        <a:off x="1461052" y="1688586"/>
        <a:ext cx="567557" cy="249031"/>
      </dsp:txXfrm>
    </dsp:sp>
    <dsp:sp modelId="{CA3DA2A2-2DA2-417B-9CBB-8C22C4A75AAB}">
      <dsp:nvSpPr>
        <dsp:cNvPr id="0" name=""/>
        <dsp:cNvSpPr/>
      </dsp:nvSpPr>
      <dsp:spPr>
        <a:xfrm>
          <a:off x="2224148" y="1481284"/>
          <a:ext cx="784335" cy="498053"/>
        </a:xfrm>
        <a:prstGeom prst="star1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EAA40E-6828-498F-91D6-9FB9CEBEA7D7}">
      <dsp:nvSpPr>
        <dsp:cNvPr id="0" name=""/>
        <dsp:cNvSpPr/>
      </dsp:nvSpPr>
      <dsp:spPr>
        <a:xfrm>
          <a:off x="2311296" y="1564075"/>
          <a:ext cx="784335" cy="498053"/>
        </a:xfrm>
        <a:prstGeom prst="star1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rgbClr val="FFFF00"/>
              </a:solidFill>
            </a:rPr>
            <a:t>CONSOLIDADOS</a:t>
          </a:r>
        </a:p>
      </dsp:txBody>
      <dsp:txXfrm>
        <a:off x="2419685" y="1688586"/>
        <a:ext cx="567557" cy="249031"/>
      </dsp:txXfrm>
    </dsp:sp>
    <dsp:sp modelId="{BC50D9F2-F793-45BA-BF7B-14686DE4928A}">
      <dsp:nvSpPr>
        <dsp:cNvPr id="0" name=""/>
        <dsp:cNvSpPr/>
      </dsp:nvSpPr>
      <dsp:spPr>
        <a:xfrm>
          <a:off x="3856954" y="750623"/>
          <a:ext cx="666301" cy="360530"/>
        </a:xfrm>
        <a:prstGeom prst="lef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DC10EF-D0ED-423B-9F6F-4393AD166F3D}">
      <dsp:nvSpPr>
        <dsp:cNvPr id="0" name=""/>
        <dsp:cNvSpPr/>
      </dsp:nvSpPr>
      <dsp:spPr>
        <a:xfrm>
          <a:off x="3944102" y="833414"/>
          <a:ext cx="666301" cy="360530"/>
        </a:xfrm>
        <a:prstGeom prst="leftArrow">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rgbClr val="FFFF00"/>
              </a:solidFill>
            </a:rPr>
            <a:t>PFC</a:t>
          </a:r>
        </a:p>
      </dsp:txBody>
      <dsp:txXfrm>
        <a:off x="4034235" y="923547"/>
        <a:ext cx="576168" cy="180265"/>
      </dsp:txXfrm>
    </dsp:sp>
    <dsp:sp modelId="{725FF059-367F-49D8-A60F-43A225EC752D}">
      <dsp:nvSpPr>
        <dsp:cNvPr id="0" name=""/>
        <dsp:cNvSpPr/>
      </dsp:nvSpPr>
      <dsp:spPr>
        <a:xfrm>
          <a:off x="3486076" y="1322386"/>
          <a:ext cx="666301" cy="36053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CB0921-1296-4271-8FC8-545AF41DBD10}">
      <dsp:nvSpPr>
        <dsp:cNvPr id="0" name=""/>
        <dsp:cNvSpPr/>
      </dsp:nvSpPr>
      <dsp:spPr>
        <a:xfrm>
          <a:off x="3573224" y="1405177"/>
          <a:ext cx="666301" cy="360530"/>
        </a:xfrm>
        <a:prstGeom prst="upArrowCallout">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rgbClr val="FFFF00"/>
              </a:solidFill>
            </a:rPr>
            <a:t>EN CONSOLIDACIÓN</a:t>
          </a:r>
        </a:p>
      </dsp:txBody>
      <dsp:txXfrm>
        <a:off x="3573224" y="1531445"/>
        <a:ext cx="666301" cy="234262"/>
      </dsp:txXfrm>
    </dsp:sp>
    <dsp:sp modelId="{31253BED-DCB2-4D72-A34D-3451D450E180}">
      <dsp:nvSpPr>
        <dsp:cNvPr id="0" name=""/>
        <dsp:cNvSpPr/>
      </dsp:nvSpPr>
      <dsp:spPr>
        <a:xfrm>
          <a:off x="4326674" y="1322386"/>
          <a:ext cx="666301" cy="36053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567759-D2B5-41E3-8902-61458479B040}">
      <dsp:nvSpPr>
        <dsp:cNvPr id="0" name=""/>
        <dsp:cNvSpPr/>
      </dsp:nvSpPr>
      <dsp:spPr>
        <a:xfrm>
          <a:off x="4413822" y="1405177"/>
          <a:ext cx="666301" cy="360530"/>
        </a:xfrm>
        <a:prstGeom prst="upArrowCallout">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rgbClr val="FFFF00"/>
              </a:solidFill>
            </a:rPr>
            <a:t>DE RECIENTE CREACIÓN</a:t>
          </a:r>
        </a:p>
      </dsp:txBody>
      <dsp:txXfrm>
        <a:off x="4413822" y="1531445"/>
        <a:ext cx="666301" cy="2342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5F53B-C434-4E33-AFF0-4F38FB01AA8B}">
      <dsp:nvSpPr>
        <dsp:cNvPr id="0" name=""/>
        <dsp:cNvSpPr/>
      </dsp:nvSpPr>
      <dsp:spPr>
        <a:xfrm>
          <a:off x="2672388" y="901451"/>
          <a:ext cx="736856" cy="721422"/>
        </a:xfrm>
        <a:prstGeom prst="gear9">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hemeClr val="accent5"/>
        </a:lnRef>
        <a:fillRef idx="3">
          <a:schemeClr val="accent5"/>
        </a:fillRef>
        <a:effectRef idx="2">
          <a:schemeClr val="accent5"/>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ES" sz="500" kern="1200"/>
            <a:t>PLAN DE MEJORA</a:t>
          </a:r>
        </a:p>
      </dsp:txBody>
      <dsp:txXfrm>
        <a:off x="2819375" y="1070441"/>
        <a:ext cx="442882" cy="370825"/>
      </dsp:txXfrm>
    </dsp:sp>
    <dsp:sp modelId="{0F36F355-99C6-4BC8-B11B-B46E35A888FA}">
      <dsp:nvSpPr>
        <dsp:cNvPr id="0" name=""/>
        <dsp:cNvSpPr/>
      </dsp:nvSpPr>
      <dsp:spPr>
        <a:xfrm>
          <a:off x="1779107" y="730167"/>
          <a:ext cx="983264" cy="787014"/>
        </a:xfrm>
        <a:prstGeom prst="gear6">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hemeClr val="accent5"/>
        </a:lnRef>
        <a:fillRef idx="3">
          <a:schemeClr val="accent5"/>
        </a:fillRef>
        <a:effectRef idx="2">
          <a:schemeClr val="accent5"/>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ES" sz="500" kern="1200"/>
            <a:t>CRITERIOS DEL MARCO DE REFERENCIA</a:t>
          </a:r>
        </a:p>
      </dsp:txBody>
      <dsp:txXfrm>
        <a:off x="2005767" y="929498"/>
        <a:ext cx="529944" cy="388352"/>
      </dsp:txXfrm>
    </dsp:sp>
    <dsp:sp modelId="{CA607DD0-8670-4E61-B4B6-AC0AE93B12C2}">
      <dsp:nvSpPr>
        <dsp:cNvPr id="0" name=""/>
        <dsp:cNvSpPr/>
      </dsp:nvSpPr>
      <dsp:spPr>
        <a:xfrm>
          <a:off x="1257703" y="1326383"/>
          <a:ext cx="583703" cy="155575"/>
        </a:xfrm>
        <a:prstGeom prst="flowChartTerminator">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22860" tIns="22860" rIns="22860" bIns="22860" numCol="1" spcCol="1270" anchor="t" anchorCtr="0">
          <a:noAutofit/>
        </a:bodyPr>
        <a:lstStyle/>
        <a:p>
          <a:pPr marL="57150" lvl="1" indent="-57150" algn="l" defTabSz="266700">
            <a:lnSpc>
              <a:spcPct val="90000"/>
            </a:lnSpc>
            <a:spcBef>
              <a:spcPct val="0"/>
            </a:spcBef>
            <a:spcAft>
              <a:spcPct val="15000"/>
            </a:spcAft>
            <a:buChar char="••"/>
          </a:pPr>
          <a:r>
            <a:rPr lang="es-ES" sz="600" kern="1200"/>
            <a:t>facilitadores</a:t>
          </a:r>
        </a:p>
      </dsp:txBody>
      <dsp:txXfrm>
        <a:off x="1285213" y="1349165"/>
        <a:ext cx="528683" cy="110011"/>
      </dsp:txXfrm>
    </dsp:sp>
    <dsp:sp modelId="{76C6E94D-8BEA-4563-8A71-4A74A276F18C}">
      <dsp:nvSpPr>
        <dsp:cNvPr id="0" name=""/>
        <dsp:cNvSpPr/>
      </dsp:nvSpPr>
      <dsp:spPr>
        <a:xfrm rot="20700000">
          <a:off x="2297664" y="122530"/>
          <a:ext cx="1038888" cy="699363"/>
        </a:xfrm>
        <a:prstGeom prst="gear6">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hemeClr val="accent5"/>
        </a:lnRef>
        <a:fillRef idx="3">
          <a:schemeClr val="accent5"/>
        </a:fillRef>
        <a:effectRef idx="2">
          <a:schemeClr val="accent5"/>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ES" sz="500" kern="1200"/>
            <a:t>AUTOEVALUACIÓN DEL PROGRAMA</a:t>
          </a:r>
        </a:p>
      </dsp:txBody>
      <dsp:txXfrm rot="-20700000">
        <a:off x="2545661" y="255783"/>
        <a:ext cx="542894" cy="432857"/>
      </dsp:txXfrm>
    </dsp:sp>
    <dsp:sp modelId="{CBB41291-D9B0-4389-9368-F7E668947A24}">
      <dsp:nvSpPr>
        <dsp:cNvPr id="0" name=""/>
        <dsp:cNvSpPr/>
      </dsp:nvSpPr>
      <dsp:spPr>
        <a:xfrm>
          <a:off x="1695861" y="1542063"/>
          <a:ext cx="537295" cy="160612"/>
        </a:xfrm>
        <a:prstGeom prst="flowChartTerminator">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22860" tIns="22860" rIns="22860" bIns="22860" numCol="1" spcCol="1270" anchor="t" anchorCtr="0">
          <a:noAutofit/>
        </a:bodyPr>
        <a:lstStyle/>
        <a:p>
          <a:pPr marL="57150" lvl="1" indent="-57150" algn="l" defTabSz="266700">
            <a:lnSpc>
              <a:spcPct val="90000"/>
            </a:lnSpc>
            <a:spcBef>
              <a:spcPct val="0"/>
            </a:spcBef>
            <a:spcAft>
              <a:spcPct val="15000"/>
            </a:spcAft>
            <a:buChar char="••"/>
          </a:pPr>
          <a:r>
            <a:rPr lang="es-ES" sz="600" kern="1200"/>
            <a:t>producción</a:t>
          </a:r>
        </a:p>
      </dsp:txBody>
      <dsp:txXfrm>
        <a:off x="1721184" y="1565582"/>
        <a:ext cx="486649" cy="113574"/>
      </dsp:txXfrm>
    </dsp:sp>
    <dsp:sp modelId="{9D820192-BD0A-413A-8856-389AFE31A638}">
      <dsp:nvSpPr>
        <dsp:cNvPr id="0" name=""/>
        <dsp:cNvSpPr/>
      </dsp:nvSpPr>
      <dsp:spPr>
        <a:xfrm>
          <a:off x="2713086" y="835192"/>
          <a:ext cx="1228291" cy="779199"/>
        </a:xfrm>
        <a:prstGeom prst="circularArrow">
          <a:avLst>
            <a:gd name="adj1" fmla="val 4687"/>
            <a:gd name="adj2" fmla="val 299029"/>
            <a:gd name="adj3" fmla="val 2418535"/>
            <a:gd name="adj4" fmla="val 16090437"/>
            <a:gd name="adj5" fmla="val 546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35D4C20-219B-48BE-98DC-BAFB0F40C4E1}">
      <dsp:nvSpPr>
        <dsp:cNvPr id="0" name=""/>
        <dsp:cNvSpPr/>
      </dsp:nvSpPr>
      <dsp:spPr>
        <a:xfrm>
          <a:off x="845035" y="609771"/>
          <a:ext cx="1556037" cy="1006394"/>
        </a:xfrm>
        <a:prstGeom prst="leftCircularArrow">
          <a:avLst>
            <a:gd name="adj1" fmla="val 6452"/>
            <a:gd name="adj2" fmla="val 429999"/>
            <a:gd name="adj3" fmla="val 10489124"/>
            <a:gd name="adj4" fmla="val 14837806"/>
            <a:gd name="adj5" fmla="val 7527"/>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630544C-708F-413D-A89C-FEA955D84F36}">
      <dsp:nvSpPr>
        <dsp:cNvPr id="0" name=""/>
        <dsp:cNvSpPr/>
      </dsp:nvSpPr>
      <dsp:spPr>
        <a:xfrm>
          <a:off x="2078886" y="50444"/>
          <a:ext cx="1622848" cy="1027303"/>
        </a:xfrm>
        <a:prstGeom prst="circularArrow">
          <a:avLst>
            <a:gd name="adj1" fmla="val 5984"/>
            <a:gd name="adj2" fmla="val 394124"/>
            <a:gd name="adj3" fmla="val 13313824"/>
            <a:gd name="adj4" fmla="val 10508221"/>
            <a:gd name="adj5" fmla="val 698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CB83FB-67E8-4453-B931-6BDAB2444F8A}">
      <dsp:nvSpPr>
        <dsp:cNvPr id="0" name=""/>
        <dsp:cNvSpPr/>
      </dsp:nvSpPr>
      <dsp:spPr>
        <a:xfrm rot="16200000">
          <a:off x="-1066009" y="1644774"/>
          <a:ext cx="2457183" cy="260181"/>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0" tIns="0" rIns="229466" bIns="0" numCol="1" spcCol="1270" anchor="t" anchorCtr="0">
          <a:noAutofit/>
        </a:bodyPr>
        <a:lstStyle/>
        <a:p>
          <a:pPr lvl="0" algn="r" defTabSz="400050">
            <a:lnSpc>
              <a:spcPct val="90000"/>
            </a:lnSpc>
            <a:spcBef>
              <a:spcPct val="0"/>
            </a:spcBef>
            <a:spcAft>
              <a:spcPct val="35000"/>
            </a:spcAft>
          </a:pPr>
          <a:r>
            <a:rPr lang="es-ES" sz="900" i="1" kern="1200"/>
            <a:t>Sobre el programa y propuestas para la mejora</a:t>
          </a:r>
          <a:endParaRPr lang="es-ES" sz="900" kern="1200"/>
        </a:p>
      </dsp:txBody>
      <dsp:txXfrm>
        <a:off x="-1066009" y="1644774"/>
        <a:ext cx="2457183" cy="260181"/>
      </dsp:txXfrm>
    </dsp:sp>
    <dsp:sp modelId="{35A3D728-34B4-4A89-B141-1BCB40990B7C}">
      <dsp:nvSpPr>
        <dsp:cNvPr id="0" name=""/>
        <dsp:cNvSpPr/>
      </dsp:nvSpPr>
      <dsp:spPr>
        <a:xfrm>
          <a:off x="292673" y="546273"/>
          <a:ext cx="1295981" cy="245718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229466" rIns="85344" bIns="85344" numCol="1" spcCol="1270" anchor="t" anchorCtr="0">
          <a:noAutofit/>
        </a:bodyPr>
        <a:lstStyle/>
        <a:p>
          <a:pPr marL="57150" lvl="1" indent="-57150" algn="l" defTabSz="400050">
            <a:lnSpc>
              <a:spcPct val="90000"/>
            </a:lnSpc>
            <a:spcBef>
              <a:spcPct val="0"/>
            </a:spcBef>
            <a:spcAft>
              <a:spcPct val="15000"/>
            </a:spcAft>
            <a:buChar char="••"/>
          </a:pPr>
          <a:r>
            <a:rPr lang="es-ES" sz="900" kern="1200"/>
            <a:t>1. Visión institucional </a:t>
          </a:r>
        </a:p>
        <a:p>
          <a:pPr marL="57150" lvl="1" indent="-57150" algn="l" defTabSz="400050">
            <a:lnSpc>
              <a:spcPct val="90000"/>
            </a:lnSpc>
            <a:spcBef>
              <a:spcPct val="0"/>
            </a:spcBef>
            <a:spcAft>
              <a:spcPct val="15000"/>
            </a:spcAft>
            <a:buChar char="••"/>
          </a:pPr>
          <a:r>
            <a:rPr lang="es-ES" sz="900" kern="1200"/>
            <a:t>2. Políticas</a:t>
          </a:r>
        </a:p>
        <a:p>
          <a:pPr marL="57150" lvl="1" indent="-57150" algn="l" defTabSz="400050">
            <a:lnSpc>
              <a:spcPct val="90000"/>
            </a:lnSpc>
            <a:spcBef>
              <a:spcPct val="0"/>
            </a:spcBef>
            <a:spcAft>
              <a:spcPct val="15000"/>
            </a:spcAft>
            <a:buChar char="••"/>
          </a:pPr>
          <a:r>
            <a:rPr lang="es-ES" sz="900" kern="1200"/>
            <a:t>3. Objetivos, </a:t>
          </a:r>
        </a:p>
        <a:p>
          <a:pPr marL="57150" lvl="1" indent="-57150" algn="l" defTabSz="400050">
            <a:lnSpc>
              <a:spcPct val="90000"/>
            </a:lnSpc>
            <a:spcBef>
              <a:spcPct val="0"/>
            </a:spcBef>
            <a:spcAft>
              <a:spcPct val="15000"/>
            </a:spcAft>
            <a:buChar char="••"/>
          </a:pPr>
          <a:r>
            <a:rPr lang="es-ES" sz="900" kern="1200"/>
            <a:t>5. Líneas de investigación o líneas de aplicación del conocimiento</a:t>
          </a:r>
        </a:p>
        <a:p>
          <a:pPr marL="57150" lvl="1" indent="-57150" algn="l" defTabSz="400050">
            <a:lnSpc>
              <a:spcPct val="90000"/>
            </a:lnSpc>
            <a:spcBef>
              <a:spcPct val="0"/>
            </a:spcBef>
            <a:spcAft>
              <a:spcPct val="15000"/>
            </a:spcAft>
            <a:buChar char="••"/>
          </a:pPr>
          <a:r>
            <a:rPr lang="es-ES" sz="900" kern="1200"/>
            <a:t>10. Identificación de fortalezas y problemas, así como las propuestas para atenderlos</a:t>
          </a:r>
        </a:p>
        <a:p>
          <a:pPr marL="57150" lvl="1" indent="-57150" algn="l" defTabSz="400050">
            <a:lnSpc>
              <a:spcPct val="90000"/>
            </a:lnSpc>
            <a:spcBef>
              <a:spcPct val="0"/>
            </a:spcBef>
            <a:spcAft>
              <a:spcPct val="15000"/>
            </a:spcAft>
            <a:buChar char="••"/>
          </a:pPr>
          <a:r>
            <a:rPr lang="es-ES" sz="900" kern="1200"/>
            <a:t>9. Acciones realizadas para la mejora de la calidad</a:t>
          </a:r>
        </a:p>
      </dsp:txBody>
      <dsp:txXfrm>
        <a:off x="292673" y="546273"/>
        <a:ext cx="1295981" cy="2457183"/>
      </dsp:txXfrm>
    </dsp:sp>
    <dsp:sp modelId="{15241C2A-9BBD-4C01-87A5-A31AA589A786}">
      <dsp:nvSpPr>
        <dsp:cNvPr id="0" name=""/>
        <dsp:cNvSpPr/>
      </dsp:nvSpPr>
      <dsp:spPr>
        <a:xfrm>
          <a:off x="38637" y="25788"/>
          <a:ext cx="518948" cy="632475"/>
        </a:xfrm>
        <a:prstGeom prst="rect">
          <a:avLst/>
        </a:prstGeom>
        <a:blipFill rotWithShape="0">
          <a:blip xmlns:r="http://schemas.openxmlformats.org/officeDocument/2006/relationships" r:embed="rId1"/>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462E5A75-656C-4BA9-B38D-D59471335344}">
      <dsp:nvSpPr>
        <dsp:cNvPr id="0" name=""/>
        <dsp:cNvSpPr/>
      </dsp:nvSpPr>
      <dsp:spPr>
        <a:xfrm rot="16200000">
          <a:off x="823437" y="1644774"/>
          <a:ext cx="2457183" cy="260181"/>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0" tIns="0" rIns="229466" bIns="0" numCol="1" spcCol="1270" anchor="t" anchorCtr="0">
          <a:noAutofit/>
        </a:bodyPr>
        <a:lstStyle/>
        <a:p>
          <a:pPr lvl="0" algn="r" defTabSz="400050">
            <a:lnSpc>
              <a:spcPct val="90000"/>
            </a:lnSpc>
            <a:spcBef>
              <a:spcPct val="0"/>
            </a:spcBef>
            <a:spcAft>
              <a:spcPct val="35000"/>
            </a:spcAft>
          </a:pPr>
          <a:r>
            <a:rPr lang="es-ES" sz="900" i="1" kern="1200"/>
            <a:t>Sobre la planta académica</a:t>
          </a:r>
          <a:endParaRPr lang="es-ES" sz="900" kern="1200"/>
        </a:p>
      </dsp:txBody>
      <dsp:txXfrm>
        <a:off x="823437" y="1644774"/>
        <a:ext cx="2457183" cy="260181"/>
      </dsp:txXfrm>
    </dsp:sp>
    <dsp:sp modelId="{0DF04F5E-19EF-46FA-B98F-D1D0530E856D}">
      <dsp:nvSpPr>
        <dsp:cNvPr id="0" name=""/>
        <dsp:cNvSpPr/>
      </dsp:nvSpPr>
      <dsp:spPr>
        <a:xfrm>
          <a:off x="2182120" y="546273"/>
          <a:ext cx="1295981" cy="245718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229466" rIns="85344" bIns="85344" numCol="1" spcCol="1270" anchor="t" anchorCtr="0">
          <a:noAutofit/>
        </a:bodyPr>
        <a:lstStyle/>
        <a:p>
          <a:pPr marL="57150" lvl="1" indent="-57150" algn="l" defTabSz="400050">
            <a:lnSpc>
              <a:spcPct val="90000"/>
            </a:lnSpc>
            <a:spcBef>
              <a:spcPct val="0"/>
            </a:spcBef>
            <a:spcAft>
              <a:spcPct val="15000"/>
            </a:spcAft>
            <a:buChar char="••"/>
          </a:pPr>
          <a:r>
            <a:rPr lang="es-ES" sz="900" kern="1200"/>
            <a:t>4. Estrategias institucionales sobre el profesorado</a:t>
          </a:r>
        </a:p>
        <a:p>
          <a:pPr marL="57150" lvl="1" indent="-57150" algn="l" defTabSz="400050">
            <a:lnSpc>
              <a:spcPct val="90000"/>
            </a:lnSpc>
            <a:spcBef>
              <a:spcPct val="0"/>
            </a:spcBef>
            <a:spcAft>
              <a:spcPct val="15000"/>
            </a:spcAft>
            <a:buChar char="••"/>
          </a:pPr>
          <a:r>
            <a:rPr lang="es-ES" sz="900" kern="1200"/>
            <a:t>7. Estrategias empleadas para productividad científica</a:t>
          </a:r>
        </a:p>
      </dsp:txBody>
      <dsp:txXfrm>
        <a:off x="2182120" y="546273"/>
        <a:ext cx="1295981" cy="2457183"/>
      </dsp:txXfrm>
    </dsp:sp>
    <dsp:sp modelId="{51494830-9E5C-4173-8942-C4BC393CC13F}">
      <dsp:nvSpPr>
        <dsp:cNvPr id="0" name=""/>
        <dsp:cNvSpPr/>
      </dsp:nvSpPr>
      <dsp:spPr>
        <a:xfrm>
          <a:off x="1928083" y="25788"/>
          <a:ext cx="518948" cy="632475"/>
        </a:xfrm>
        <a:prstGeom prst="rect">
          <a:avLst/>
        </a:prstGeom>
        <a:blipFill rotWithShape="0">
          <a:blip xmlns:r="http://schemas.openxmlformats.org/officeDocument/2006/relationships" r:embed="rId2"/>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C0C25D1E-C9AA-422D-8392-85746B1379E3}">
      <dsp:nvSpPr>
        <dsp:cNvPr id="0" name=""/>
        <dsp:cNvSpPr/>
      </dsp:nvSpPr>
      <dsp:spPr>
        <a:xfrm rot="16200000">
          <a:off x="2712884" y="1644774"/>
          <a:ext cx="2457183" cy="260181"/>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0" tIns="0" rIns="229466" bIns="0" numCol="1" spcCol="1270" anchor="t" anchorCtr="0">
          <a:noAutofit/>
        </a:bodyPr>
        <a:lstStyle/>
        <a:p>
          <a:pPr lvl="0" algn="r" defTabSz="400050">
            <a:lnSpc>
              <a:spcPct val="90000"/>
            </a:lnSpc>
            <a:spcBef>
              <a:spcPct val="0"/>
            </a:spcBef>
            <a:spcAft>
              <a:spcPct val="35000"/>
            </a:spcAft>
          </a:pPr>
          <a:r>
            <a:rPr lang="es-ES" sz="900" i="1" kern="1200"/>
            <a:t>Sobre los alumnos</a:t>
          </a:r>
          <a:endParaRPr lang="es-ES" sz="900" kern="1200"/>
        </a:p>
      </dsp:txBody>
      <dsp:txXfrm>
        <a:off x="2712884" y="1644774"/>
        <a:ext cx="2457183" cy="260181"/>
      </dsp:txXfrm>
    </dsp:sp>
    <dsp:sp modelId="{ECAB49C2-7719-4EF8-9F17-CF6ECE4A0094}">
      <dsp:nvSpPr>
        <dsp:cNvPr id="0" name=""/>
        <dsp:cNvSpPr/>
      </dsp:nvSpPr>
      <dsp:spPr>
        <a:xfrm>
          <a:off x="4071567" y="546273"/>
          <a:ext cx="1295981" cy="2457183"/>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229466" rIns="85344" bIns="85344" numCol="1" spcCol="1270" anchor="t" anchorCtr="0">
          <a:noAutofit/>
        </a:bodyPr>
        <a:lstStyle/>
        <a:p>
          <a:pPr marL="57150" lvl="1" indent="-57150" algn="l" defTabSz="400050">
            <a:lnSpc>
              <a:spcPct val="90000"/>
            </a:lnSpc>
            <a:spcBef>
              <a:spcPct val="0"/>
            </a:spcBef>
            <a:spcAft>
              <a:spcPct val="15000"/>
            </a:spcAft>
            <a:buChar char="••"/>
          </a:pPr>
          <a:r>
            <a:rPr lang="es-ES" sz="900" kern="1200"/>
            <a:t>8. Estrategias de la participación de los estudiantes en el proceso de mejora de la calidad</a:t>
          </a:r>
        </a:p>
        <a:p>
          <a:pPr marL="57150" lvl="1" indent="-57150" algn="l" defTabSz="400050">
            <a:lnSpc>
              <a:spcPct val="90000"/>
            </a:lnSpc>
            <a:spcBef>
              <a:spcPct val="0"/>
            </a:spcBef>
            <a:spcAft>
              <a:spcPct val="15000"/>
            </a:spcAft>
            <a:buChar char="••"/>
          </a:pPr>
          <a:r>
            <a:rPr lang="es-ES" sz="900" kern="1200"/>
            <a:t>6. Estrategias para la elevación de la eficiencia terminal</a:t>
          </a:r>
        </a:p>
      </dsp:txBody>
      <dsp:txXfrm>
        <a:off x="4071567" y="546273"/>
        <a:ext cx="1295981" cy="2457183"/>
      </dsp:txXfrm>
    </dsp:sp>
    <dsp:sp modelId="{EB0935C3-5E21-48E4-9611-321EABA9125D}">
      <dsp:nvSpPr>
        <dsp:cNvPr id="0" name=""/>
        <dsp:cNvSpPr/>
      </dsp:nvSpPr>
      <dsp:spPr>
        <a:xfrm>
          <a:off x="3817530" y="25788"/>
          <a:ext cx="518948" cy="632475"/>
        </a:xfrm>
        <a:prstGeom prst="rect">
          <a:avLst/>
        </a:prstGeom>
        <a:blipFill rotWithShape="0">
          <a:blip xmlns:r="http://schemas.openxmlformats.org/officeDocument/2006/relationships" r:embed="rId3"/>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3FD947-9CFD-4E99-8DF5-ACF0FA21C396}">
      <dsp:nvSpPr>
        <dsp:cNvPr id="0" name=""/>
        <dsp:cNvSpPr/>
      </dsp:nvSpPr>
      <dsp:spPr>
        <a:xfrm>
          <a:off x="26" y="56699"/>
          <a:ext cx="2524595" cy="288000"/>
        </a:xfrm>
        <a:prstGeom prst="rect">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p3d prstMaterial="plastic">
          <a:bevelT w="50800" h="50800"/>
          <a:bevelB w="50800" h="50800"/>
        </a:sp3d>
      </dsp:spPr>
      <dsp:style>
        <a:lnRef idx="1">
          <a:scrgbClr r="0" g="0" b="0"/>
        </a:lnRef>
        <a:fillRef idx="1">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ES" sz="1000" kern="1200"/>
            <a:t>plan de estudio</a:t>
          </a:r>
        </a:p>
      </dsp:txBody>
      <dsp:txXfrm>
        <a:off x="26" y="56699"/>
        <a:ext cx="2524595" cy="288000"/>
      </dsp:txXfrm>
    </dsp:sp>
    <dsp:sp modelId="{448E77BF-739A-4B4F-AC86-F41C1FC24B7B}">
      <dsp:nvSpPr>
        <dsp:cNvPr id="0" name=""/>
        <dsp:cNvSpPr/>
      </dsp:nvSpPr>
      <dsp:spPr>
        <a:xfrm>
          <a:off x="26" y="344699"/>
          <a:ext cx="2524595" cy="1427399"/>
        </a:xfrm>
        <a:prstGeom prst="rect">
          <a:avLst/>
        </a:prstGeom>
        <a:solidFill>
          <a:schemeClr val="accent1">
            <a:alpha val="90000"/>
            <a:tint val="40000"/>
            <a:hueOff val="0"/>
            <a:satOff val="0"/>
            <a:lumOff val="0"/>
            <a:alphaOff val="0"/>
          </a:schemeClr>
        </a:solidFill>
        <a:ln>
          <a:noFill/>
        </a:ln>
        <a:effectLst>
          <a:outerShdw blurRad="40000" dist="23000" dir="5400000" rotWithShape="0">
            <a:srgbClr val="000000">
              <a:alpha val="35000"/>
            </a:srgbClr>
          </a:outerShdw>
        </a:effectLst>
        <a:sp3d prstMaterial="plastic">
          <a:bevelT w="25400" h="25400"/>
          <a:bevelB w="25400" h="25400"/>
        </a:sp3d>
      </dsp:spPr>
      <dsp:style>
        <a:lnRef idx="0">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a:t>perfil de ingreso</a:t>
          </a:r>
        </a:p>
        <a:p>
          <a:pPr marL="57150" lvl="1" indent="-57150" algn="l" defTabSz="444500">
            <a:lnSpc>
              <a:spcPct val="90000"/>
            </a:lnSpc>
            <a:spcBef>
              <a:spcPct val="0"/>
            </a:spcBef>
            <a:spcAft>
              <a:spcPct val="15000"/>
            </a:spcAft>
            <a:buChar char="••"/>
          </a:pPr>
          <a:r>
            <a:rPr lang="es-ES" sz="1000" kern="1200"/>
            <a:t>perfil de egreso</a:t>
          </a:r>
        </a:p>
        <a:p>
          <a:pPr marL="57150" lvl="1" indent="-57150" algn="l" defTabSz="444500">
            <a:lnSpc>
              <a:spcPct val="90000"/>
            </a:lnSpc>
            <a:spcBef>
              <a:spcPct val="0"/>
            </a:spcBef>
            <a:spcAft>
              <a:spcPct val="15000"/>
            </a:spcAft>
            <a:buChar char="••"/>
          </a:pPr>
          <a:r>
            <a:rPr lang="es-ES" sz="1000" kern="1200"/>
            <a:t>objetivos</a:t>
          </a:r>
        </a:p>
        <a:p>
          <a:pPr marL="57150" lvl="1" indent="-57150" algn="l" defTabSz="444500">
            <a:lnSpc>
              <a:spcPct val="90000"/>
            </a:lnSpc>
            <a:spcBef>
              <a:spcPct val="0"/>
            </a:spcBef>
            <a:spcAft>
              <a:spcPct val="15000"/>
            </a:spcAft>
            <a:buChar char="••"/>
          </a:pPr>
          <a:r>
            <a:rPr lang="es-ES" sz="1000" kern="1200"/>
            <a:t>metas</a:t>
          </a:r>
        </a:p>
        <a:p>
          <a:pPr marL="57150" lvl="1" indent="-57150" algn="l" defTabSz="444500">
            <a:lnSpc>
              <a:spcPct val="90000"/>
            </a:lnSpc>
            <a:spcBef>
              <a:spcPct val="0"/>
            </a:spcBef>
            <a:spcAft>
              <a:spcPct val="15000"/>
            </a:spcAft>
            <a:buChar char="••"/>
          </a:pPr>
          <a:r>
            <a:rPr lang="es-ES" sz="1000" kern="1200"/>
            <a:t>congruencia del plan de estudios</a:t>
          </a:r>
        </a:p>
        <a:p>
          <a:pPr marL="57150" lvl="1" indent="-57150" algn="l" defTabSz="444500">
            <a:lnSpc>
              <a:spcPct val="90000"/>
            </a:lnSpc>
            <a:spcBef>
              <a:spcPct val="0"/>
            </a:spcBef>
            <a:spcAft>
              <a:spcPct val="15000"/>
            </a:spcAft>
            <a:buChar char="••"/>
          </a:pPr>
          <a:r>
            <a:rPr lang="es-ES" sz="1000" kern="1200"/>
            <a:t>organización curricular</a:t>
          </a:r>
        </a:p>
        <a:p>
          <a:pPr marL="57150" lvl="1" indent="-57150" algn="l" defTabSz="444500">
            <a:lnSpc>
              <a:spcPct val="90000"/>
            </a:lnSpc>
            <a:spcBef>
              <a:spcPct val="0"/>
            </a:spcBef>
            <a:spcAft>
              <a:spcPct val="15000"/>
            </a:spcAft>
            <a:buChar char="••"/>
          </a:pPr>
          <a:r>
            <a:rPr lang="es-ES" sz="1000" kern="1200"/>
            <a:t>requisito de dominio de lenguas extranjeras</a:t>
          </a:r>
        </a:p>
        <a:p>
          <a:pPr marL="57150" lvl="1" indent="-57150" algn="l" defTabSz="444500">
            <a:lnSpc>
              <a:spcPct val="90000"/>
            </a:lnSpc>
            <a:spcBef>
              <a:spcPct val="0"/>
            </a:spcBef>
            <a:spcAft>
              <a:spcPct val="15000"/>
            </a:spcAft>
            <a:buChar char="••"/>
          </a:pPr>
          <a:r>
            <a:rPr lang="es-ES" sz="1000" kern="1200"/>
            <a:t>actualización del plan de estudios</a:t>
          </a:r>
        </a:p>
      </dsp:txBody>
      <dsp:txXfrm>
        <a:off x="26" y="344699"/>
        <a:ext cx="2524595" cy="1427399"/>
      </dsp:txXfrm>
    </dsp:sp>
    <dsp:sp modelId="{B0ADF75F-D637-4FE2-BA14-94C523D9CBBC}">
      <dsp:nvSpPr>
        <dsp:cNvPr id="0" name=""/>
        <dsp:cNvSpPr/>
      </dsp:nvSpPr>
      <dsp:spPr>
        <a:xfrm>
          <a:off x="2878065" y="56699"/>
          <a:ext cx="2524595" cy="288000"/>
        </a:xfrm>
        <a:prstGeom prst="rect">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p3d prstMaterial="plastic">
          <a:bevelT w="50800" h="50800"/>
          <a:bevelB w="50800" h="50800"/>
        </a:sp3d>
      </dsp:spPr>
      <dsp:style>
        <a:lnRef idx="1">
          <a:scrgbClr r="0" g="0" b="0"/>
        </a:lnRef>
        <a:fillRef idx="1">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ES" sz="1000" kern="1200"/>
            <a:t>proceso de enseñanza-aprendizaje </a:t>
          </a:r>
        </a:p>
      </dsp:txBody>
      <dsp:txXfrm>
        <a:off x="2878065" y="56699"/>
        <a:ext cx="2524595" cy="288000"/>
      </dsp:txXfrm>
    </dsp:sp>
    <dsp:sp modelId="{A6E70752-F527-4898-BDBE-FD485E7F20C4}">
      <dsp:nvSpPr>
        <dsp:cNvPr id="0" name=""/>
        <dsp:cNvSpPr/>
      </dsp:nvSpPr>
      <dsp:spPr>
        <a:xfrm>
          <a:off x="2878065" y="344699"/>
          <a:ext cx="2524595" cy="1427399"/>
        </a:xfrm>
        <a:prstGeom prst="rect">
          <a:avLst/>
        </a:prstGeom>
        <a:solidFill>
          <a:schemeClr val="accent1">
            <a:alpha val="90000"/>
            <a:tint val="40000"/>
            <a:hueOff val="0"/>
            <a:satOff val="0"/>
            <a:lumOff val="0"/>
            <a:alphaOff val="0"/>
          </a:schemeClr>
        </a:solidFill>
        <a:ln>
          <a:noFill/>
        </a:ln>
        <a:effectLst>
          <a:outerShdw blurRad="40000" dist="23000" dir="5400000" rotWithShape="0">
            <a:srgbClr val="000000">
              <a:alpha val="35000"/>
            </a:srgbClr>
          </a:outerShdw>
        </a:effectLst>
        <a:sp3d prstMaterial="plastic">
          <a:bevelT w="25400" h="25400"/>
          <a:bevelB w="25400" h="25400"/>
        </a:sp3d>
      </dsp:spPr>
      <dsp:style>
        <a:lnRef idx="0">
          <a:scrgbClr r="0" g="0" b="0"/>
        </a:lnRef>
        <a:fillRef idx="1">
          <a:scrgbClr r="0" g="0" b="0"/>
        </a:fillRef>
        <a:effectRef idx="2">
          <a:scrgbClr r="0" g="0" b="0"/>
        </a:effectRef>
        <a:fontRef idx="minor"/>
      </dsp:style>
      <dsp:txBody>
        <a:bodyPr spcFirstLastPara="0" vert="horz" wrap="square" lIns="53340" tIns="53340" rIns="71120" bIns="80010" numCol="1" spcCol="1270" anchor="ctr" anchorCtr="0">
          <a:noAutofit/>
        </a:bodyPr>
        <a:lstStyle/>
        <a:p>
          <a:pPr marL="57150" lvl="1" indent="-57150" algn="l" defTabSz="444500">
            <a:lnSpc>
              <a:spcPct val="90000"/>
            </a:lnSpc>
            <a:spcBef>
              <a:spcPct val="0"/>
            </a:spcBef>
            <a:spcAft>
              <a:spcPct val="15000"/>
            </a:spcAft>
            <a:buChar char="••"/>
          </a:pPr>
          <a:r>
            <a:rPr lang="es-ES" sz="1000" kern="1200"/>
            <a:t>flexibilidad curricular</a:t>
          </a:r>
        </a:p>
        <a:p>
          <a:pPr marL="57150" lvl="1" indent="-57150" algn="l" defTabSz="444500">
            <a:lnSpc>
              <a:spcPct val="90000"/>
            </a:lnSpc>
            <a:spcBef>
              <a:spcPct val="0"/>
            </a:spcBef>
            <a:spcAft>
              <a:spcPct val="15000"/>
            </a:spcAft>
            <a:buChar char="••"/>
          </a:pPr>
          <a:r>
            <a:rPr lang="es-ES" sz="1000" kern="1200"/>
            <a:t>evaluación del desempeño académico de los estudiantes</a:t>
          </a:r>
        </a:p>
        <a:p>
          <a:pPr marL="57150" lvl="1" indent="-57150" algn="l" defTabSz="444500">
            <a:lnSpc>
              <a:spcPct val="90000"/>
            </a:lnSpc>
            <a:spcBef>
              <a:spcPct val="0"/>
            </a:spcBef>
            <a:spcAft>
              <a:spcPct val="15000"/>
            </a:spcAft>
            <a:buChar char="••"/>
          </a:pPr>
          <a:r>
            <a:rPr lang="es-ES" sz="1000" kern="1200"/>
            <a:t>tecnologías de información y comunicaciones auxiliares</a:t>
          </a:r>
        </a:p>
      </dsp:txBody>
      <dsp:txXfrm>
        <a:off x="2878065" y="344699"/>
        <a:ext cx="2524595" cy="14273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2#2">
  <dgm:title val=""/>
  <dgm:desc val=""/>
  <dgm:catLst>
    <dgm:cat type="list" pri="6000"/>
    <dgm:cat type="relationship" pri="1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InternetSite</b:SourceType>
    <b:Guid>{EC838F77-0955-47C2-B378-5B291A00F864}</b:Guid>
    <b:Author>
      <b:Author>
        <b:Corporate>CIECAS</b:Corporate>
      </b:Author>
    </b:Author>
    <b:Title>Centro de Investigaciones Económicas, Administrativas y Sociales</b:Title>
    <b:Year>2009</b:Year>
    <b:Month>marzo</b:Month>
    <b:Day>24</b:Day>
    <b:YearAccessed>2009</b:YearAccessed>
    <b:MonthAccessed>octubre</b:MonthAccessed>
    <b:DayAccessed>10</b:DayAccessed>
    <b:URL>http://www.ciecas.ipn.mx/</b:URL>
    <b:RefOrder>8</b:RefOrder>
  </b:Source>
  <b:Source>
    <b:Tag>CIE09</b:Tag>
    <b:SourceType>InternetSite</b:SourceType>
    <b:Guid>{F79239E6-55C4-424A-8CBB-0A28AFF3D551}</b:Guid>
    <b:Author>
      <b:Author>
        <b:Corporate>CIECAS</b:Corporate>
      </b:Author>
    </b:Author>
    <b:Title>Centro de Investigaciones Económicas, Administrativas y Sociales</b:Title>
    <b:Year>2011</b:Year>
    <b:Month>abril</b:Month>
    <b:Day>24</b:Day>
    <b:YearAccessed>2011</b:YearAccessed>
    <b:MonthAccessed>mayo</b:MonthAccessed>
    <b:DayAccessed>10</b:DayAccessed>
    <b:URL>http://www.ciecas.ipn.mx/</b:URL>
    <b:RefOrder>9</b:RefOrder>
  </b:Source>
  <b:Source>
    <b:Tag>CIE101</b:Tag>
    <b:SourceType>DocumentFromInternetSite</b:SourceType>
    <b:Guid>{CDC14C3F-CE05-4884-BF6C-94816AC35054}</b:Guid>
    <b:Author>
      <b:Author>
        <b:NameList>
          <b:Person>
            <b:Last>CIECAS</b:Last>
            <b:First>IPN</b:First>
          </b:Person>
        </b:NameList>
      </b:Author>
    </b:Author>
    <b:Title>Cuadríptico Maestría en Metodología 2011-2013 CIECAS IPN</b:Title>
    <b:Year>2010a</b:Year>
    <b:URL>www.ciecas.ipn.mx/.../Cuadriptico_Maestria_Metodologia_2011-2013_ CIECAS_IPN.pdf</b:URL>
    <b:RefOrder>10</b:RefOrder>
  </b:Source>
  <b:Source>
    <b:Tag>CIE10</b:Tag>
    <b:SourceType>DocumentFromInternetSite</b:SourceType>
    <b:Guid>{E7E6896D-C6D1-47CC-9BF7-648BE76B3147}</b:Guid>
    <b:Author>
      <b:Author>
        <b:NameList>
          <b:Person>
            <b:Last>CIECAS</b:Last>
            <b:First>IPN</b:First>
          </b:Person>
        </b:NameList>
      </b:Author>
    </b:Author>
    <b:Title>Covocatoria para el programa de posgrado de la M. en C. en Metodología de la Ciencia</b:Title>
    <b:Year>2010b</b:Year>
    <b:RefOrder>11</b:RefOrder>
  </b:Source>
  <b:Source>
    <b:Tag>Ins10</b:Tag>
    <b:SourceType>DocumentFromInternetSite</b:SourceType>
    <b:Guid>{EF47B67C-46FC-4AC3-B492-1DB36295B110}</b:Guid>
    <b:Author>
      <b:Author>
        <b:Corporate>IPN</b:Corporate>
      </b:Author>
    </b:Author>
    <b:Title>Acuerdo por el que se expide el Reglamento de Estudios de Posgrado del Instituto Politécnico Nacional</b:Title>
    <b:InternetSiteTitle>Reglamento de Estudios de Posgrado del Instituto Politécnico Nacional</b:InternetSiteTitle>
    <b:YearAccessed>2010</b:YearAccessed>
    <b:MonthAccessed>Enero</b:MonthAccessed>
    <b:DayAccessed>14</b:DayAccessed>
    <b:URL>http://www.posgrado.ipn.mx/index.htm o sepi.escasto.ipn.mx/CTRL%20ESC/reglamento_posgrado.pdf </b:URL>
    <b:Year>2006a</b:Year>
    <b:RefOrder>12</b:RefOrder>
  </b:Source>
  <b:Source>
    <b:Tag>Ace07</b:Tag>
    <b:SourceType>JournalArticle</b:SourceType>
    <b:Guid>{06BAD313-2865-4546-8A01-BF3122607F1A}</b:Guid>
    <b:Author>
      <b:Author>
        <b:NameList>
          <b:Person>
            <b:Last>Acevedo Díaz</b:Last>
            <b:First>José</b:First>
            <b:Middle>Antonio</b:Middle>
          </b:Person>
          <b:Person>
            <b:Last>Vázquez Alonso</b:Last>
            <b:First>Ángel</b:First>
          </b:Person>
          <b:Person>
            <b:Last>Manassero Más</b:Last>
            <b:First>Ma.</b:First>
            <b:Middle>Antonieta</b:Middle>
          </b:Person>
          <b:Person>
            <b:Last>Acevedo Romero</b:Last>
            <b:First>Pilar</b:First>
          </b:Person>
        </b:NameList>
      </b:Author>
      <b:Editor>
        <b:NameList>
          <b:Person>
            <b:Last>Eureka</b:Last>
            <b:First>Asociación</b:First>
            <b:Middle>de editories amigos de la ciencia:</b:Middle>
          </b:Person>
        </b:NameList>
      </b:Editor>
    </b:Author>
    <b:Title>Consensos sobre la naturaleza de la ciencia: aspectos epistemológicos</b:Title>
    <b:Year>2007</b:Year>
    <b:JournalName>Revista Eureka sobre enseñanza y divulgación de las ciencias</b:JournalName>
    <b:Pages>202-225</b:Pages>
    <b:City>Cadiz España</b:City>
    <b:Volume>4</b:Volume>
    <b:Issue>2</b:Issue>
    <b:Comments>Recuperado de Redalyc</b:Comments>
    <b:RefOrder>26</b:RefOrder>
  </b:Source>
  <b:Source>
    <b:Tag>Roj</b:Tag>
    <b:SourceType>Misc</b:SourceType>
    <b:Guid>{7699B98E-8AD9-4DAE-BBC2-8CA7F1EBA657}</b:Guid>
    <b:Author>
      <b:Author>
        <b:NameList>
          <b:Person>
            <b:Last>Rojo Asenjo</b:Last>
            <b:First>Onofre</b:First>
          </b:Person>
        </b:NameList>
      </b:Author>
    </b:Author>
    <b:Title>Monografía de Proyectos de Estudios Sociales, Tecnológicos y Científicos (PESTyC)</b:Title>
    <b:Publisher>inédito</b:Publisher>
    <b:Year>s. a.</b:Year>
    <b:RefOrder>27</b:RefOrder>
  </b:Source>
  <b:Source>
    <b:Tag>Roj99</b:Tag>
    <b:SourceType>DocumentFromInternetSite</b:SourceType>
    <b:Guid>{765CF866-C105-43A0-8BD1-8B744ACB1337}</b:Guid>
    <b:Author>
      <b:Author>
        <b:NameList>
          <b:Person>
            <b:Last>Rojas Soriano</b:Last>
            <b:First>Raúl</b:First>
          </b:Person>
        </b:NameList>
      </b:Author>
    </b:Author>
    <b:Title>Estado del debate en metodología de la investigación, corrientes metodológicas, delimitación de los objetos de estudio.</b:Title>
    <b:Year>1999</b:Year>
    <b:RefOrder>28</b:RefOrder>
  </b:Source>
  <b:Source>
    <b:Tag>Not761</b:Tag>
    <b:SourceType>JournalArticle</b:SourceType>
    <b:Guid>{D7E72EB8-804F-40BC-9A12-4DCDF07FBFCA}</b:Guid>
    <b:Year>1976</b:Year>
    <b:JournalName>Dialéctica</b:JournalName>
    <b:Pages>227-230</b:Pages>
    <b:Volume>1</b:Volume>
    <b:Issue>1</b:Issue>
    <b:Comments>http://148.206.53.230/revistasuam/dialectica/</b:Comments>
    <b:RefOrder>29</b:RefOrder>
  </b:Source>
  <b:Source>
    <b:Tag>Lóp06</b:Tag>
    <b:SourceType>Book</b:SourceType>
    <b:Guid>{DF440343-C7CB-4099-856E-90138281394D}</b:Guid>
    <b:Author>
      <b:Author>
        <b:NameList>
          <b:Person>
            <b:Last>López Guardado</b:Last>
            <b:First>Maricela</b:First>
          </b:Person>
        </b:NameList>
      </b:Author>
    </b:Author>
    <b:Title>Setenta años de historia del Instituto Politécnico Nacional</b:Title>
    <b:InternetSiteTitle>Tomo IV Maestros Decanos del IPN</b:InternetSiteTitle>
    <b:Year>2006</b:Year>
    <b:City>México</b:City>
    <b:Publisher>IPN</b:Publisher>
    <b:Volume>IV</b:Volume>
    <b:Pages>www.decanato.ipn.mx/pdf/tomo4.pdf</b:Pages>
    <b:Comments>www.decanato.ipn.mx/pdf/tomo4.pdf</b:Comments>
    <b:RefOrder>31</b:RefOrder>
  </b:Source>
  <b:Source>
    <b:Tag>And06</b:Tag>
    <b:SourceType>DocumentFromInternetSite</b:SourceType>
    <b:Guid>{905C0ECD-214A-4D09-9243-B3402EE3505E}</b:Guid>
    <b:Author>
      <b:Author>
        <b:NameList>
          <b:Person>
            <b:Last>Anda Gutiérrez</b:Last>
            <b:First>Cuauhtémoc</b:First>
          </b:Person>
        </b:NameList>
      </b:Author>
    </b:Author>
    <b:Year>2006</b:Year>
    <b:YearAccessed>2009</b:YearAccessed>
    <b:MonthAccessed>mayo</b:MonthAccessed>
    <b:DayAccessed>08</b:DayAccessed>
    <b:URL>www.publicaciones.ipn.mx/PDF/2110.pdf</b:URL>
    <b:Title>70 aniversario del Instituto Politécnico Nacional 1936-2006</b:Title>
    <b:RefOrder>32</b:RefOrder>
  </b:Source>
  <b:Source>
    <b:Tag>Mon03</b:Tag>
    <b:SourceType>JournalArticle</b:SourceType>
    <b:Guid>{9E5E9351-B4C3-456A-B1C2-57174A538B88}</b:Guid>
    <b:Author>
      <b:Author>
        <b:NameList>
          <b:Person>
            <b:Last>Monteón</b:Last>
            <b:First>Humberto</b:First>
          </b:Person>
        </b:NameList>
      </b:Author>
    </b:Author>
    <b:JournalName>Metodología de la ciencia</b:JournalName>
    <b:Year>2003</b:Year>
    <b:Pages>1-3</b:Pages>
    <b:Volume>V</b:Volume>
    <b:Issue>22</b:Issue>
    <b:RefOrder>33</b:RefOrder>
  </b:Source>
  <b:Source>
    <b:Tag>Mon96</b:Tag>
    <b:SourceType>Misc</b:SourceType>
    <b:Guid>{2F7E11FB-B5B9-4E0F-9289-766C85DC82ED}</b:Guid>
    <b:Author>
      <b:Author>
        <b:NameList>
          <b:Person>
            <b:Last>Montoya Fernández</b:Last>
            <b:First>Ulises</b:First>
          </b:Person>
        </b:NameList>
      </b:Author>
    </b:Author>
    <b:Year>1996</b:Year>
    <b:Publisher>Tesis de Maestria para obtener el grado de M. en C. en Metodología de la Ciencia, PESTyC, IPN</b:Publisher>
    <b:PublicationTitle>El proyecto de Estudios Sociales, Tecnológicos y Científicos y la Maestría en Metodología de la Ciencia</b:PublicationTitle>
    <b:CountryRegion>México</b:CountryRegion>
    <b:Comments>tesis</b:Comments>
    <b:RefOrder>34</b:RefOrder>
  </b:Source>
  <b:Source>
    <b:Tag>Con83</b:Tag>
    <b:SourceType>Misc</b:SourceType>
    <b:Guid>{1C176029-71D8-4B9B-8CF0-C102BC0990E4}</b:Guid>
    <b:Author>
      <b:Author>
        <b:NameList>
          <b:Person>
            <b:Last>Sevilla Hernández</b:Last>
            <b:First>Ma.</b:First>
            <b:Middle>Luisa</b:Middle>
          </b:Person>
        </b:NameList>
      </b:Author>
    </b:Author>
    <b:Title>Acta de la sesión No. 116 del Consejo Académico de Graduados</b:Title>
    <b:Year>1983</b:Year>
    <b:Publisher>IPN</b:Publisher>
    <b:CountryRegion>México</b:CountryRegion>
    <b:Month>abril</b:Month>
    <b:Day>27</b:Day>
    <b:StateProvince>Sección de Graduados de la ESIQIE</b:StateProvince>
    <b:RefOrder>35</b:RefOrder>
  </b:Source>
  <b:Source>
    <b:Tag>Colsa</b:Tag>
    <b:SourceType>Misc</b:SourceType>
    <b:Guid>{A643653F-825E-4581-A3F1-5CE79F28DFC7}</b:Guid>
    <b:Author>
      <b:Author>
        <b:Corporate>Colegio de Profesores del PESTyC</b:Corporate>
      </b:Author>
    </b:Author>
    <b:Title>Acta de la XVI Sesión Ordinaria</b:Title>
    <b:Year>1986</b:Year>
    <b:CountryRegion>México</b:CountryRegion>
    <b:Publisher>Instituto Politécnico Nacional. Secretaría Académica PESTyC</b:Publisher>
    <b:Month>septiembre</b:Month>
    <b:Day>26</b:Day>
    <b:RefOrder>37</b:RefOrder>
  </b:Source>
  <b:Source>
    <b:Tag>Gam92</b:Tag>
    <b:SourceType>Book</b:SourceType>
    <b:Guid>{60A51C2F-49AF-45D5-97B2-401232B64824}</b:Guid>
    <b:Author>
      <b:Author>
        <b:NameList>
          <b:Person>
            <b:Last>Gamboa Villafranca</b:Last>
            <b:First>Xavier</b:First>
          </b:Person>
        </b:NameList>
      </b:Author>
    </b:Author>
    <b:Title>Interlocutores sociales para la recuperación ecológica: un método Politécnico Morelense</b:Title>
    <b:Year>1992</b:Year>
    <b:BookTitle>Interlocutores sociales para la recuperación ecológica.</b:BookTitle>
    <b:Publisher>Claro oscuro. Serial cuadernos de metodología sobre investigación y desarrollo tecnológico. PESTyC</b:Publisher>
    <b:City>México</b:City>
    <b:RefOrder>38</b:RefOrder>
  </b:Source>
  <b:Source>
    <b:Tag>Gam902</b:Tag>
    <b:SourceType>JournalArticle</b:SourceType>
    <b:Guid>{FA949ADB-7F5C-4DF2-8123-AC0F7FC325E8}</b:Guid>
    <b:Author>
      <b:Author>
        <b:NameList>
          <b:Person>
            <b:Last>Gamboa Villafranca</b:Last>
            <b:First>Xavier</b:First>
          </b:Person>
        </b:NameList>
      </b:Author>
    </b:Author>
    <b:Title>Una vertiente de vinculacion del IPN con el sector productivo: resultados de la lucha paor el cambio en la maestría en metodología de la ciencia.</b:Title>
    <b:Year>1990</b:Year>
    <b:City>México</b:City>
    <b:Month>Noviembre</b:Month>
    <b:JournalName>Omnia. Revista de la Coordinación General de Estudios de Posgrado</b:JournalName>
    <b:Issue>Extraordinario</b:Issue>
    <b:RefOrder>39</b:RefOrder>
  </b:Source>
  <b:Source>
    <b:Tag>Cas</b:Tag>
    <b:SourceType>JournalArticle</b:SourceType>
    <b:Guid>{5CF258DA-6A86-4260-8007-77AFEE249DC5}</b:Guid>
    <b:Author>
      <b:Author>
        <b:NameList>
          <b:Person>
            <b:Last>Castillo García</b:Last>
            <b:First>Luis</b:First>
          </b:Person>
          <b:Person>
            <b:Last>Manrique Nava</b:Last>
            <b:First>Carolina</b:First>
          </b:Person>
          <b:Person>
            <b:Last>Gamboa Villafranca</b:Last>
            <b:First>Xavier</b:First>
          </b:Person>
        </b:NameList>
      </b:Author>
    </b:Author>
    <b:Title>Apoyos para la competitividad de los posgrados nacionales de la Maestría en Metodología de la Ciencia IPN</b:Title>
    <b:City>México</b:City>
    <b:Year>1995</b:Year>
    <b:JournalName>Omnia</b:JournalName>
    <b:Month>julio</b:Month>
    <b:Volume>11</b:Volume>
    <b:Issue>32</b:Issue>
    <b:Comments>www.posgrado.unam.mx/servicios/productos/omnia/.../33/02.pdf</b:Comments>
    <b:RefOrder>40</b:RefOrder>
  </b:Source>
  <b:Source>
    <b:Tag>Per92</b:Tag>
    <b:SourceType>Misc</b:SourceType>
    <b:Guid>{4E1AFD40-8CC8-45F5-9430-F2EFE5333E91}</b:Guid>
    <b:Author>
      <b:Author>
        <b:Corporate>Personal Académico de Metodología de la Ciencia, PESTyC</b:Corporate>
      </b:Author>
    </b:Author>
    <b:Title>Relatoría de la mesa redonda del personal académico sobre actualización de la Maestría en Metodología de la Ciencia</b:Title>
    <b:Year>1992</b:Year>
    <b:Month>septiembre</b:Month>
    <b:CountryRegion>México</b:CountryRegion>
    <b:Publisher>IPN, PESTyC</b:Publisher>
    <b:RefOrder>41</b:RefOrder>
  </b:Source>
  <b:Source>
    <b:Tag>Cas03</b:Tag>
    <b:SourceType>JournalArticle</b:SourceType>
    <b:Guid>{E75B5F50-23CA-4937-9100-8E3397FFCF60}</b:Guid>
    <b:Author>
      <b:Author>
        <b:NameList>
          <b:Person>
            <b:Last>Castillo García</b:Last>
            <b:First>Luis</b:First>
          </b:Person>
        </b:NameList>
      </b:Author>
    </b:Author>
    <b:Title>Orenamiento del conocimiento</b:Title>
    <b:Year>2003</b:Year>
    <b:JournalName>Siglo XXI</b:JournalName>
    <b:RefOrder>42</b:RefOrder>
  </b:Source>
  <b:Source>
    <b:Tag>Cas96</b:Tag>
    <b:SourceType>JournalArticle</b:SourceType>
    <b:Guid>{FFD718F6-D341-4B7B-811C-3C1E232B4A27}</b:Guid>
    <b:Author>
      <b:Author>
        <b:NameList>
          <b:Person>
            <b:Last>Castillo García</b:Last>
            <b:First>Luis</b:First>
          </b:Person>
          <b:Person>
            <b:Last>Manrique Nava</b:Last>
            <b:First>Carolina</b:First>
          </b:Person>
        </b:NameList>
      </b:Author>
    </b:Author>
    <b:Title>Avances de investigación y desarrollo tecnológico vía los seminarios departamentales: algunos casos en el IPN</b:Title>
    <b:JournalName>Omnia</b:JournalName>
    <b:Year>1996</b:Year>
    <b:City>México</b:City>
    <b:Issue>36-37</b:Issue>
    <b:Comments>www.posgrado.unam.mx/servicios/productos/omnia/anteriores/36.../11.pdf</b:Comments>
    <b:RefOrder>43</b:RefOrder>
  </b:Source>
  <b:Source>
    <b:Tag>Gue96</b:Tag>
    <b:SourceType>Misc</b:SourceType>
    <b:Guid>{84D36BB0-0E09-4151-9289-BD1B52F2F11F}</b:Guid>
    <b:Author>
      <b:Author>
        <b:NameList>
          <b:Person>
            <b:Last>Guerra Rodríguez</b:Last>
            <b:First>Diódoro</b:First>
          </b:Person>
        </b:NameList>
      </b:Author>
    </b:Author>
    <b:Title>Acuerdo por el que se establece el Centro de Investigaciones Económicas Administrativas y Sociales del Instituto Politécnico Nacional</b:Title>
    <b:Year>1996</b:Year>
    <b:Month>noviembre</b:Month>
    <b:Day>1</b:Day>
    <b:Publisher>Director General</b:Publisher>
    <b:Comments>Aporbado por el H. Consejo General Consultivo en su 10a. Sesión Ordinaria celebrada el 31 de octubre de 1996</b:Comments>
    <b:RefOrder>44</b:RefOrder>
  </b:Source>
  <b:Source>
    <b:Tag>Are02</b:Tag>
    <b:SourceType>Misc</b:SourceType>
    <b:Guid>{DE8D4D6C-BD05-4B00-BEA2-D8A5B774E532}</b:Guid>
    <b:Author>
      <b:Author>
        <b:NameList>
          <b:Person>
            <b:Last>Arellano Hernández</b:Last>
            <b:First>Antonio</b:First>
          </b:Person>
          <b:Person>
            <b:Last>Ledesma Mateos</b:Last>
            <b:First>Ismael</b:First>
          </b:Person>
        </b:NameList>
      </b:Author>
    </b:Author>
    <b:Title>Evaluación de la Maestría en Metodología de la Ciencia</b:Title>
    <b:Year>2002</b:Year>
    <b:RefOrder>45</b:RefOrder>
  </b:Source>
  <b:Source>
    <b:Tag>CIE07</b:Tag>
    <b:SourceType>Misc</b:SourceType>
    <b:Guid>{EAF0B53C-7F79-4BC9-9F2F-9B2A96701847}</b:Guid>
    <b:Author>
      <b:Author>
        <b:Corporate>CIECAS</b:Corporate>
      </b:Author>
    </b:Author>
    <b:Title>Convocatoria 2008-2010</b:Title>
    <b:Year>2007</b:Year>
    <b:CountryRegion>México</b:CountryRegion>
    <b:RefOrder>46</b:RefOrder>
  </b:Source>
  <b:Source>
    <b:Tag>CIE092</b:Tag>
    <b:SourceType>Misc</b:SourceType>
    <b:Guid>{E1FBAFBB-1463-4CD5-AC4C-A89237981237}</b:Guid>
    <b:Author>
      <b:Author>
        <b:Corporate>H. Colegio de Profesores del CIECAS</b:Corporate>
      </b:Author>
    </b:Author>
    <b:Title>XI Sesión Ordinaria</b:Title>
    <b:Year>2009</b:Year>
    <b:City>México</b:City>
    <b:PublicationTitle>Convocatoria 2010-2012</b:PublicationTitle>
    <b:RefOrder>47</b:RefOrder>
  </b:Source>
  <b:Source>
    <b:Tag>Rod09</b:Tag>
    <b:SourceType>Report</b:SourceType>
    <b:Guid>{E51F9C93-FB88-4F85-AAA5-FBD58D1CD255}</b:Guid>
    <b:Author>
      <b:Author>
        <b:NameList>
          <b:Person>
            <b:Last>Rodríguez Salazar</b:Last>
            <b:First>Luis</b:First>
            <b:Middle>Maurico</b:Middle>
          </b:Person>
        </b:NameList>
      </b:Author>
    </b:Author>
    <b:Title>Maestría en Ciencias en Metodología de la Ciencia</b:Title>
    <b:Year>2009</b:Year>
    <b:Publisher>inédito</b:Publisher>
    <b:City>México</b:City>
    <b:Department>Coordinación de la Maestría en Ciencias en Metodología de la Ciencia</b:Department>
    <b:Institution>Instituto Politécnico Nacional, Centro de Investigtaciones Económicas, Administrativas y Sociales</b:Institution>
    <b:RefOrder>48</b:RefOrder>
  </b:Source>
  <b:Source>
    <b:Tag>Gon09</b:Tag>
    <b:SourceType>Misc</b:SourceType>
    <b:Guid>{2385FCCB-E74A-4628-AD07-753E9F6768F8}</b:Guid>
    <b:Author>
      <b:Author>
        <b:NameList>
          <b:Person>
            <b:Last>González García</b:Last>
            <b:First>Juan</b:First>
          </b:Person>
          <b:Person>
            <b:Last>Mendoza Acosta</b:Last>
            <b:First>Pedro</b:First>
          </b:Person>
          <b:Person>
            <b:Last>Merrit Tapia</b:Last>
            <b:First>Humberto</b:First>
            <b:Middle>&amp; Ponce Talancón, Humberto</b:Middle>
          </b:Person>
        </b:NameList>
      </b:Author>
    </b:Author>
    <b:Title>Reporte de la Comisión de evaluación de la Maestría en Ciencias en Metodología de la Ciencia</b:Title>
    <b:Year>2009</b:Year>
    <b:City>México</b:City>
    <b:RefOrder>49</b:RefOrder>
  </b:Source>
  <b:Source>
    <b:Tag>HCo10</b:Tag>
    <b:SourceType>Misc</b:SourceType>
    <b:Guid>{3A9682F4-5CAE-4367-A6A0-7711A088EC29}</b:Guid>
    <b:Author>
      <b:Author>
        <b:Corporate>H. Colegio de Profesores CIECAS</b:Corporate>
      </b:Author>
    </b:Author>
    <b:Title>Acuerdos Sesión V Ordinaria</b:Title>
    <b:Year>2010</b:Year>
    <b:Month>mayo</b:Month>
    <b:Day>21</b:Day>
    <b:CountryRegion>México</b:CountryRegion>
    <b:RefOrder>50</b:RefOrder>
  </b:Source>
  <b:Source>
    <b:Tag>CIE11</b:Tag>
    <b:SourceType>Misc</b:SourceType>
    <b:Guid>{F8DE67E6-4A0A-4FA1-A8F7-312DD5E4F0F1}</b:Guid>
    <b:Author>
      <b:Author>
        <b:Corporate>CIECAS</b:Corporate>
      </b:Author>
    </b:Author>
    <b:Title>Acuerdos Sesión IV Ordinaria 15 de abril 2011</b:Title>
    <b:Year>2011</b:Year>
    <b:Month>abril</b:Month>
    <b:Day>15</b:Day>
    <b:RefOrder>51</b:RefOrder>
  </b:Source>
  <b:Source>
    <b:Tag>Dir83</b:Tag>
    <b:SourceType>Misc</b:SourceType>
    <b:Guid>{77F7279E-F7D5-4D5A-B5F1-C0E5A94130B5}</b:Guid>
    <b:Author>
      <b:Author>
        <b:Corporate>Dirección de Graduados e Investigación</b:Corporate>
      </b:Author>
    </b:Author>
    <b:Title>Dictamen que presenta la Dirección de Graduados e Investigación sobre el proyecto de instauración de cursos a nivel de Postgrado en la Sección de Graduados ESIME Culhuacán, tendiente a otorgar el diploma de Especialización en Metología de la Ciencia</b:Title>
    <b:Year>1983</b:Year>
    <b:Month>agosto</b:Month>
    <b:Day>8</b:Day>
    <b:CountryRegion>México</b:CountryRegion>
    <b:Publisher>IPN</b:Publisher>
    <b:RefOrder>89</b:RefOrder>
  </b:Source>
  <b:Source>
    <b:Tag>HCo83</b:Tag>
    <b:SourceType>Misc</b:SourceType>
    <b:Guid>{0C3C5DDF-C3C4-45B8-940F-52032AAA1BF7}</b:Guid>
    <b:Author>
      <b:Author>
        <b:Corporate>H. Consejo Académico de Graduados del IPN</b:Corporate>
      </b:Author>
    </b:Author>
    <b:Year>1983</b:Year>
    <b:Month>junio</b:Month>
    <b:Day>21</b:Day>
    <b:CountryRegion>México</b:CountryRegion>
    <b:Publisher>Escuela Superior de Comercio y Administración, IPN</b:Publisher>
    <b:RefOrder>90</b:RefOrder>
  </b:Source>
  <b:Source>
    <b:Tag>Garsa</b:Tag>
    <b:SourceType>Misc</b:SourceType>
    <b:Guid>{7499312F-DD66-4915-B803-8E85FA36F45C}</b:Guid>
    <b:Author>
      <b:Author>
        <b:NameList>
          <b:Person>
            <b:Last>Garza Caballero</b:Last>
            <b:First>Manuel</b:First>
          </b:Person>
        </b:NameList>
      </b:Author>
    </b:Author>
    <b:Title>Resolución sobre Estudios de Postgrado que se ofrecerá  a través del Proyecto de Estudios Sociales, Tecnológicos y Científicos, tendiente a otorgar el Diploma de Especialización en Metodología de la Ciencia</b:Title>
    <b:Year>s. a.</b:Year>
    <b:CountryRegion>México</b:CountryRegion>
    <b:Publisher>Instituto Politécnico Nacional, Dirección General</b:Publisher>
    <b:Volume>63</b:Volume>
    <b:RefOrder>91</b:RefOrder>
  </b:Source>
  <b:Source>
    <b:Tag>Gam95</b:Tag>
    <b:SourceType>JournalArticle</b:SourceType>
    <b:Guid>{5E9B18B1-79C2-47AE-B770-5E86D455E976}</b:Guid>
    <b:Author>
      <b:Author>
        <b:NameList>
          <b:Person>
            <b:Last>Gamboa Villafranca</b:Last>
            <b:First>Xavier</b:First>
          </b:Person>
          <b:Person>
            <b:Last>Manrique Nava</b:Last>
            <b:First>Carolina</b:First>
          </b:Person>
          <b:Person>
            <b:Last>Castillo García</b:Last>
            <b:First>Luis</b:First>
          </b:Person>
        </b:NameList>
      </b:Author>
    </b:Author>
    <b:Title>Investigación conjunta sobre impacto de la práctica profesional en los niveles externo (Estado de Campeche) e interno (ESIQIE-IPN)</b:Title>
    <b:JournalName>Omnia</b:JournalName>
    <b:Year>1995</b:Year>
    <b:City>México</b:City>
    <b:Month>Octubre</b:Month>
    <b:Issue>33</b:Issue>
    <b:Comments>www.posgrado.unam.mx/servicios/productos/omnia/.../33/02.pdf</b:Comments>
    <b:RefOrder>92</b:RefOrder>
  </b:Source>
  <b:Source>
    <b:Tag>Pre3a</b:Tag>
    <b:SourceType>Misc</b:SourceType>
    <b:Guid>{7F702AEA-86B7-4D81-B1BF-3D71501413B2}</b:Guid>
    <b:Author>
      <b:Author>
        <b:Corporate>IPN</b:Corporate>
      </b:Author>
    </b:Author>
    <b:Title>Ley Orgánica del Instituto Politécnico Nacional</b:Title>
    <b:PublicationTitle>Marco jurídico. Presidencia del decanato</b:PublicationTitle>
    <b:Year>1985</b:Year>
    <b:CountryRegion>México</b:CountryRegion>
    <b:RefOrder>52</b:RefOrder>
  </b:Source>
  <b:Source>
    <b:Tag>Sec09</b:Tag>
    <b:SourceType>InternetSite</b:SourceType>
    <b:Guid>{3C945D19-0F8F-449B-9C60-48E2F91C8487}</b:Guid>
    <b:Author>
      <b:Author>
        <b:Corporate>SIP IPN</b:Corporate>
      </b:Author>
    </b:Author>
    <b:Title>Políticas</b:Title>
    <b:Year>2009a</b:Year>
    <b:InternetSiteTitle>Secretaría de Investigación y Posgrado</b:InternetSiteTitle>
    <b:Month>Junio</b:Month>
    <b:Day>01</b:Day>
    <b:YearAccessed>2009</b:YearAccessed>
    <b:MonthAccessed>Noviembre</b:MonthAccessed>
    <b:DayAccessed>13</b:DayAccessed>
    <b:URL>http://www.sip.ipn.mx/wps/wcm/connect/sip/SIP/Inicio/conocenos/Politicas/</b:URL>
    <b:RefOrder>53</b:RefOrder>
  </b:Source>
  <b:Source>
    <b:Tag>IPN04</b:Tag>
    <b:SourceType>DocumentFromInternetSite</b:SourceType>
    <b:Guid>{858A6817-EA5B-4826-9C2A-D72FBE95A8D6}</b:Guid>
    <b:Author>
      <b:Author>
        <b:Corporate>IPN</b:Corporate>
      </b:Author>
    </b:Author>
    <b:Title>Un nuevo modelo educativo para el IPN</b:Title>
    <b:Year>2003, Cuaderno 1</b:Year>
    <b:City>México</b:City>
    <b:Publisher>Dirección de publicaciones IPN</b:Publisher>
    <b:YearAccessed>2009</b:YearAccessed>
    <b:MonthAccessed>Octubre</b:MonthAccessed>
    <b:DayAccessed>21</b:DayAccessed>
    <b:URL>http://www.wps2.ipn.mx/wps/wcm/connect/secretaria_academica/SA/Inicio/Recursos_de_Informacion/</b:URL>
    <b:InternetSiteTitle>Materiales para la Reforma</b:InternetSiteTitle>
    <b:RefOrder>54</b:RefOrder>
  </b:Source>
  <b:Source>
    <b:Tag>IPNo4</b:Tag>
    <b:SourceType>DocumentFromInternetSite</b:SourceType>
    <b:Guid>{A53FA759-8CCF-4F7C-96AF-9C5870E5346F}</b:Guid>
    <b:Author>
      <b:Author>
        <b:Corporate>IPN</b:Corporate>
      </b:Author>
    </b:Author>
    <b:Title>Programa Estratégico de Investigación y Posgrado</b:Title>
    <b:InternetSiteTitle>Materiales para la Reforma</b:InternetSiteTitle>
    <b:Year>2004, Cuaderno 4</b:Year>
    <b:YearAccessed>2009</b:YearAccessed>
    <b:MonthAccessed>Octubre</b:MonthAccessed>
    <b:DayAccessed>21</b:DayAccessed>
    <b:URL>http://www.wps2.ipn.mx/wps/wcm/connect/secretaria_academica/SA/Inicio/Recursos_de_Informacion/</b:URL>
    <b:RefOrder>55</b:RefOrder>
  </b:Source>
  <b:Source>
    <b:Tag>Her07</b:Tag>
    <b:SourceType>Misc</b:SourceType>
    <b:Guid>{5EF09826-B257-4D47-A4E7-42DBE1047404}</b:Guid>
    <b:Author>
      <b:Author>
        <b:NameList>
          <b:Person>
            <b:Last>Hernández Jaime</b:Last>
            <b:First>Josefina</b:First>
          </b:Person>
        </b:NameList>
      </b:Author>
    </b:Author>
    <b:Title>Un diagnóstico de cultura organizacional en una institución educativa: el caso de la SEPI-UPIICSA</b:Title>
    <b:Year>2007</b:Year>
    <b:CountryRegion>México</b:CountryRegion>
    <b:Publisher>Unidad Profesional Interdisciplinaria de Ingeniería y Ciencias Sociales y Administrativas. Sección de Estudios de Posgrado e Investigación.</b:Publisher>
    <b:Medium>Tesis de maestría</b:Medium>
    <b:RefOrder>56</b:RefOrder>
  </b:Source>
  <b:Source>
    <b:Tag>IPN06</b:Tag>
    <b:SourceType>DocumentFromInternetSite</b:SourceType>
    <b:Guid>{E281EB2A-33B4-47FF-8A5B-B79D266C24DF}</b:Guid>
    <b:Author>
      <b:Author>
        <b:Corporate>IPN</b:Corporate>
      </b:Author>
    </b:Author>
    <b:Title>Propuesta de lineamientos para la formulación del Modelo de Investigación Educativa del Instituto Politécnico Nacional</b:Title>
    <b:InternetSiteTitle>Centro de Formación e Innovación Educativa</b:InternetSiteTitle>
    <b:Year>2006b</b:Year>
    <b:Month>Febrero</b:Month>
    <b:YearAccessed>2010</b:YearAccessed>
    <b:MonthAccessed>Enero</b:MonthAccessed>
    <b:DayAccessed>29</b:DayAccessed>
    <b:URL>www.eventos.cfie.ipn.mx/.../investigacion/.../modelo_investigacion_educativa.pdf -</b:URL>
    <b:RefOrder>57</b:RefOrder>
  </b:Source>
  <b:Source>
    <b:Tag>IPN03</b:Tag>
    <b:SourceType>DocumentFromInternetSite</b:SourceType>
    <b:Guid>{AB8FE4E5-43B3-4E9C-9855-ACB47323CAB3}</b:Guid>
    <b:Author>
      <b:Author>
        <b:Corporate>IPN</b:Corporate>
      </b:Author>
    </b:Author>
    <b:Title>Un nuevo modelo para el IPN. Propuesta. Vesión resumida</b:Title>
    <b:Year>2003</b:Year>
    <b:Month>marzo</b:Month>
    <b:YearAccessed>2009</b:YearAccessed>
    <b:MonthAccessed>octubre</b:MonthAccessed>
    <b:DayAccessed>5</b:DayAccessed>
    <b:URL>www.comunidades.ipn.mx/.../20ModeloEducativoVersion27julio2003Resumen.pdf -</b:URL>
    <b:RefOrder>58</b:RefOrder>
  </b:Source>
  <b:Source>
    <b:Tag>UNE98</b:Tag>
    <b:SourceType>DocumentFromInternetSite</b:SourceType>
    <b:Guid>{F27BD6F3-4E63-4F5D-97C5-505D8F6AB8C0}</b:Guid>
    <b:Author>
      <b:Author>
        <b:Corporate>UNESCO</b:Corporate>
      </b:Author>
    </b:Author>
    <b:Title>Declaración Mundial sobre la Eduación Superior en el siglo XXI: visión y acción</b:Title>
    <b:Year>1998</b:Year>
    <b:Month>octubre</b:Month>
    <b:Day>09</b:Day>
    <b:YearAccessed>2009</b:YearAccessed>
    <b:MonthAccessed>diciembre</b:MonthAccessed>
    <b:DayAccessed>21</b:DayAccessed>
    <b:URL>http://www.unesco.org/education/educprog/wche/declaration_spa.htm#declaracion</b:URL>
    <b:InternetSiteTitle>Conferencia Mundial sobre la Educación, UNESCO</b:InternetSiteTitle>
    <b:RefOrder>59</b:RefOrder>
  </b:Source>
  <b:Source>
    <b:Tag>Duc05</b:Tag>
    <b:SourceType>Misc</b:SourceType>
    <b:Guid>{62A88EB3-48A1-45CD-B98B-34249111D6D6}</b:Guid>
    <b:Author>
      <b:Author>
        <b:NameList>
          <b:Person>
            <b:Last>Ducoing Watty</b:Last>
            <b:First>Patrica</b:First>
          </b:Person>
        </b:NameList>
      </b:Author>
      <b:Editor>
        <b:NameList>
          <b:Person>
            <b:Last>Ducoing Watty</b:Last>
            <b:First>Patricia</b:First>
          </b:Person>
        </b:NameList>
      </b:Editor>
    </b:Author>
    <b:Title>En torno a las nociones de formación</b:Title>
    <b:PublicationTitle>La investigación educativa en México (1992-2002). Sujetos y actores en procesos de formación. Tomo II: Formación de docentes (normal y universidad) y de profesionales de la educación. Formación profesional.</b:PublicationTitle>
    <b:Year>2005</b:Year>
    <b:CountryRegion>México</b:CountryRegion>
    <b:Publisher>Consejo Mexicano de la Investigación Educativa</b:Publisher>
    <b:Medium>Programa de Fomento a la Investigación Educativa, 2002</b:Medium>
    <b:Pages>73-170</b:Pages>
    <b:Issue>II</b:Issue>
    <b:RefOrder>60</b:RefOrder>
  </b:Source>
  <b:Source>
    <b:Tag>Alc95</b:Tag>
    <b:SourceType>Misc</b:SourceType>
    <b:Guid>{A0D119C7-387A-4CDD-BD69-28667B1A2DE8}</b:Guid>
    <b:Author>
      <b:Author>
        <b:NameList>
          <b:Person>
            <b:Last>Alcántara Santuario</b:Last>
            <b:First>Armando</b:First>
          </b:Person>
        </b:NameList>
      </b:Author>
      <b:Editor>
        <b:NameList>
          <b:Person>
            <b:Last>México</b:Last>
            <b:First>Universidad</b:First>
            <b:Middle>Nacional Autónoma de</b:Middle>
          </b:Person>
        </b:NameList>
      </b:Editor>
    </b:Author>
    <b:Title>Algunas reflexiones sobre el desarrollo de la investigación científica en la UNAM dentro de los ámbitos latinoamericano y nacional</b:Title>
    <b:Year>1995</b:Year>
    <b:City>D. F.</b:City>
    <b:CountryRegion>México</b:CountryRegion>
    <b:PublicationTitle>Perfiles Educativos</b:PublicationTitle>
    <b:Medium>Revista Académica</b:Medium>
    <b:Volume>octubre-diciembre</b:Volume>
    <b:Issue>70</b:Issue>
    <b:RefOrder>4</b:RefOrder>
  </b:Source>
  <b:Source>
    <b:Tag>Bun00</b:Tag>
    <b:SourceType>BookSection</b:SourceType>
    <b:Guid>{E811D7E0-1894-46ED-AD1B-3EA30526A108}</b:Guid>
    <b:Author>
      <b:Author>
        <b:NameList>
          <b:Person>
            <b:Last>Bunge</b:Last>
            <b:First>Mario</b:First>
          </b:Person>
        </b:NameList>
      </b:Author>
    </b:Author>
    <b:Title>Tres políticas de desarrollo científico</b:Title>
    <b:Year>2000</b:Year>
    <b:Pages>227-237</b:Pages>
    <b:BookTitle>La epistemología</b:BookTitle>
    <b:City>México</b:City>
    <b:Publisher>Siglo XXI</b:Publisher>
    <b:RefOrder>61</b:RefOrder>
  </b:Source>
  <b:Source>
    <b:Tag>IPN041</b:Tag>
    <b:SourceType>DocumentFromInternetSite</b:SourceType>
    <b:Guid>{EA474196-7D3F-463C-9B73-21EF69C04C7C}</b:Guid>
    <b:Author>
      <b:Author>
        <b:Corporate>IPN</b:Corporate>
      </b:Author>
    </b:Author>
    <b:Title>La investigación y el posgrado en la estrategia general para la implantación del Nuevo Modelo Educativo y del Modelo de Integración Social.</b:Title>
    <b:Year>2004, Cuaderno 18</b:Year>
    <b:YearAccessed>2009</b:YearAccessed>
    <b:MonthAccessed>12</b:MonthAccessed>
    <b:DayAccessed>01</b:DayAccessed>
    <b:City>México</b:City>
    <b:InternetSiteTitle>Materiales para la Reforma</b:InternetSiteTitle>
    <b:URL>http://www.wps2.ipn.mx/wps/wcm/connect/secretaria_academica/SA/Inicio/Recursos_de_Informacion/</b:URL>
    <b:RefOrder>62</b:RefOrder>
  </b:Source>
  <b:Source>
    <b:Tag>IPN09</b:Tag>
    <b:SourceType>Report</b:SourceType>
    <b:Guid>{5C662CF5-EF37-49D2-921D-D5717831BDA3}</b:Guid>
    <b:Author>
      <b:Author>
        <b:Corporate>IPN</b:Corporate>
      </b:Author>
    </b:Author>
    <b:Title>Acta de expedición del manual de organización de la Coordinación de Cooperación Académica del Instituto Politécnico Nacional</b:Title>
    <b:Year>2009</b:Year>
    <b:City>México</b:City>
    <b:Publisher>IPN</b:Publisher>
    <b:RefOrder>63</b:RefOrder>
  </b:Source>
  <b:Source>
    <b:Tag>IPN88</b:Tag>
    <b:SourceType>Misc</b:SourceType>
    <b:Guid>{4E7AB3C4-F598-4E15-8803-B01BA0FC4622}</b:Guid>
    <b:Author>
      <b:Author>
        <b:Corporate>IPN</b:Corporate>
      </b:Author>
    </b:Author>
    <b:Title>Reglamento de las Condiciones Interiores de Trabajo del Personal Académico del Instituto Politécnico Nacional</b:Title>
    <b:Year>1988</b:Year>
    <b:PublicationTitle>Gaceta Politécnica</b:PublicationTitle>
    <b:CountryRegion>México</b:CountryRegion>
    <b:RefOrder>64</b:RefOrder>
  </b:Source>
  <b:Source>
    <b:Tag>Sec091</b:Tag>
    <b:SourceType>InternetSite</b:SourceType>
    <b:Guid>{51AA5D7D-4FFA-462D-B2FA-1AAF09B38BF0}</b:Guid>
    <b:Author>
      <b:Author>
        <b:Corporate>SIP IPN</b:Corporate>
      </b:Author>
    </b:Author>
    <b:Title>Plan de mejoras</b:Title>
    <b:InternetSiteTitle>Secretaría de Investigación y Posgrado, Instituto Politécnico Nacional</b:InternetSiteTitle>
    <b:Year>2009b</b:Year>
    <b:Month>Junio</b:Month>
    <b:Day>03</b:Day>
    <b:YearAccessed>2009</b:YearAccessed>
    <b:MonthAccessed>Noviembre</b:MonthAccessed>
    <b:DayAccessed>13</b:DayAccessed>
    <b:URL>http://www.sip.ipn.mx/wps/wcm/connect/sip/SIP/Inicio/conocenos/Plan+de+Mejoras/</b:URL>
    <b:RefOrder>65</b:RefOrder>
  </b:Source>
  <b:Source>
    <b:Tag>Pre03</b:Tag>
    <b:SourceType>Misc</b:SourceType>
    <b:Guid>{5C0A766C-ACD2-4EFF-BE16-B825D913BD98}</b:Guid>
    <b:Author>
      <b:Author>
        <b:Corporate>Presidencia del Decanato</b:Corporate>
      </b:Author>
    </b:Author>
    <b:Title>Acuerdo por el que se expide el Reglamento Interno del Instituto Politécnico Nacional</b:Title>
    <b:PublicationTitle>Marco Jurídico Reglamentos</b:PublicationTitle>
    <b:Year>2003</b:Year>
    <b:CountryRegion>México</b:CountryRegion>
    <b:RefOrder>93</b:RefOrder>
  </b:Source>
  <b:Source>
    <b:Tag>MarcadorDePosición2</b:Tag>
    <b:SourceType>DocumentFromInternetSite</b:SourceType>
    <b:Guid>{DACCFAC7-5A69-4BEE-8B23-3FA050966E36}</b:Guid>
    <b:Author>
      <b:Author>
        <b:Corporate>IPN</b:Corporate>
      </b:Author>
    </b:Author>
    <b:Title>Acuerdo por el que se expide el Reglamento de Estudios de Posgrado del Instituto Politécnico Nacional</b:Title>
    <b:InternetSiteTitle>Reglamento de Estudios de Posgrado del Instituto Politécnico Nacional</b:InternetSiteTitle>
    <b:YearAccessed>2010</b:YearAccessed>
    <b:MonthAccessed>Enero</b:MonthAccessed>
    <b:DayAccessed>14</b:DayAccessed>
    <b:URL>http://www.posgrado.ipn.mx/index.htm</b:URL>
    <b:Year>2006a</b:Year>
    <b:RefOrder>94</b:RefOrder>
  </b:Source>
  <b:Source>
    <b:Tag>OEC04</b:Tag>
    <b:SourceType>DocumentFromInternetSite</b:SourceType>
    <b:Guid>{0C3AEDEC-2795-4DC5-957F-0F32176DD902}</b:Guid>
    <b:Author>
      <b:Author>
        <b:Corporate>OECD</b:Corporate>
      </b:Author>
    </b:Author>
    <b:Title>Revisión Nacional de Investigación y Desarrollo Educativo</b:Title>
    <b:InternetSiteTitle>Organisation For Economic Co-operation and Development</b:InternetSiteTitle>
    <b:Year>2004</b:Year>
    <b:YearAccessed>2010</b:YearAccessed>
    <b:MonthAccessed>Junio</b:MonthAccessed>
    <b:DayAccessed>23</b:DayAccessed>
    <b:URL>www.oecd.org/dataoecd/42/23/32496490.pdf </b:URL>
    <b:RefOrder>95</b:RefOrder>
  </b:Source>
  <b:Source>
    <b:Tag>Est</b:Tag>
    <b:SourceType>Misc</b:SourceType>
    <b:Guid>{6BA6701F-0153-4A08-A408-4B0C96E66514}</b:Guid>
    <b:Title>Estrategia Nacional de Autoevaluación de Programas de Posgrado</b:Title>
    <b:Comments>w.comepo.org.mx/images/pdf/estrategianacionaldeautoevaluaciondeprogramasdeposgrado.pdf</b:Comments>
    <b:Author>
      <b:Author>
        <b:Corporate>COMEPO</b:Corporate>
      </b:Author>
    </b:Author>
    <b:Year>2007a</b:Year>
    <b:RefOrder>66</b:RefOrder>
  </b:Source>
  <b:Source>
    <b:Tag>CON09</b:Tag>
    <b:SourceType>InternetSite</b:SourceType>
    <b:Guid>{AF1DFE31-DE31-40BE-9CC2-FDE3A9A9B244}</b:Guid>
    <b:Author>
      <b:Author>
        <b:Corporate>CONACyT</b:Corporate>
      </b:Author>
    </b:Author>
    <b:Title>Consejo Nacional de Ciencia y Tecnología</b:Title>
    <b:Year>2009a</b:Year>
    <b:Month>Octubre</b:Month>
    <b:Day>15</b:Day>
    <b:YearAccessed>2009</b:YearAccessed>
    <b:MonthAccessed>Octubre</b:MonthAccessed>
    <b:DayAccessed>28</b:DayAccessed>
    <b:URL>http://www.conacyt.gob.mx/Acerca/Acerca_conacyt.html</b:URL>
    <b:RefOrder>67</b:RefOrder>
  </b:Source>
  <b:Source>
    <b:Tag>COM7b</b:Tag>
    <b:SourceType>Misc</b:SourceType>
    <b:Guid>{756F7ED4-CD67-4466-9A4F-36CA5CDCD463}</b:Guid>
    <b:Author>
      <b:Author>
        <b:Corporate>COMEPO</b:Corporate>
      </b:Author>
    </b:Author>
    <b:Title>Plan de Desarrollo del Posgrado Nacional</b:Title>
    <b:Year>2007b</b:Year>
    <b:Comments>www.comepo.org.mx/images/pdf/plandedesarrollodelposgradonacional.pdf</b:Comments>
    <b:RefOrder>68</b:RefOrder>
  </b:Source>
  <b:Source>
    <b:Tag>CON06</b:Tag>
    <b:SourceType>DocumentFromInternetSite</b:SourceType>
    <b:Guid>{686D521A-7F78-4283-A33F-2685D92B53BC}</b:Guid>
    <b:Author>
      <b:Author>
        <b:Corporate>CONACyT</b:Corporate>
      </b:Author>
    </b:Author>
    <b:Title>Padrón de Excelencia</b:Title>
    <b:Year>2006</b:Year>
    <b:YearAccessed>2011</b:YearAccessed>
    <b:MonthAccessed>Febrero</b:MonthAccessed>
    <b:DayAccessed>23</b:DayAccessed>
    <b:URL>http://www.conacyt.gob.mx/Becas/Posgrados_Convocatorias_2006/PE_PFPN.pdf</b:URL>
    <b:RefOrder>69</b:RefOrder>
  </b:Source>
  <b:Source>
    <b:Tag>Cor09</b:Tag>
    <b:SourceType>DocumentFromInternetSite</b:SourceType>
    <b:Guid>{6B95C182-DCB3-4650-ADE8-7C77173CF7C8}</b:Guid>
    <b:Author>
      <b:Author>
        <b:NameList>
          <b:Person>
            <b:Last>Corrales Burgueño</b:Last>
            <b:First>Víctor</b:First>
            <b:Middle>Antonio</b:Middle>
          </b:Person>
        </b:NameList>
      </b:Author>
    </b:Author>
    <b:Title>Alianzas regionales para mejorar la calidad del posgrado</b:Title>
    <b:InternetSiteTitle>XXIII Congreso Nacional de Posgrado</b:InternetSiteTitle>
    <b:Year>2009</b:Year>
    <b:Month>Octubre</b:Month>
    <b:YearAccessed>2011</b:YearAccessed>
    <b:MonthAccessed>Abril</b:MonthAccessed>
    <b:DayAccessed>26</b:DayAccessed>
    <b:URL>www.comunicacion.ugto.mx/comepo/comepo/.../Memoria-XXIII-CNP.pdf</b:URL>
    <b:RefOrder>70</b:RefOrder>
  </b:Source>
  <b:Source>
    <b:Tag>Tin05</b:Tag>
    <b:SourceType>JournalArticle</b:SourceType>
    <b:Guid>{33BDBA35-8CCA-494D-A737-1B61E051FE33}</b:Guid>
    <b:Author>
      <b:Author>
        <b:NameList>
          <b:Person>
            <b:Last>Tinajero Villavicencio</b:Last>
            <b:First>Guadalupe</b:First>
          </b:Person>
        </b:NameList>
      </b:Author>
    </b:Author>
    <b:Title>Una década de acreditación de programas de posgrado 1991-2001</b:Title>
    <b:Year>2005</b:Year>
    <b:City>México</b:City>
    <b:JournalName>Revista de Educación Superior </b:JournalName>
    <b:Month>Enero-Marzo</b:Month>
    <b:Volume>XXXIV</b:Volume>
    <b:Issue>1</b:Issue>
    <b:RefOrder>71</b:RefOrder>
  </b:Source>
  <b:Source>
    <b:Tag>Unisa</b:Tag>
    <b:SourceType>DocumentFromInternetSite</b:SourceType>
    <b:Guid>{CF447D39-3721-4E1A-ACCC-6EF566159C88}</b:Guid>
    <b:Author>
      <b:Author>
        <b:Corporate>Universidad Autónoma de San Luis Potosí</b:Corporate>
      </b:Author>
    </b:Author>
    <b:Title>Semblanza de la Investigación y el Posgrado en la UASLP en el decenio de 1995-2004</b:Title>
    <b:Year>s. a.</b:Year>
    <b:YearAccessed>2009</b:YearAccessed>
    <b:MonthAccessed>Noviembre</b:MonthAccessed>
    <b:DayAccessed>13</b:DayAccessed>
    <b:URL>http://www.uaslp.mx/Spanish/Administracion/SIP/Paginas/SemblanzaInvPos.aspx</b:URL>
    <b:RefOrder>72</b:RefOrder>
  </b:Source>
  <b:Source>
    <b:Tag>Mir08</b:Tag>
    <b:SourceType>JournalArticle</b:SourceType>
    <b:Guid>{89F03F0E-1B84-4B51-A9FF-EAD73F3C78AC}</b:Guid>
    <b:Author>
      <b:Author>
        <b:NameList>
          <b:Person>
            <b:Last>Mireles</b:Last>
            <b:First>Olivia</b:First>
          </b:Person>
        </b:NameList>
      </b:Author>
    </b:Author>
    <b:Title>Evaluación de la calidad del posgrado en México</b:Title>
    <b:Year>2008</b:Year>
    <b:Month>diciembre</b:Month>
    <b:JournalName>Calidad en la educación</b:JournalName>
    <b:Pages>242, 257</b:Pages>
    <b:City>México</b:City>
    <b:Issue>29</b:Issue>
    <b:RefOrder>73</b:RefOrder>
  </b:Source>
  <b:Source>
    <b:Tag>COMsa</b:Tag>
    <b:SourceType>DocumentFromInternetSite</b:SourceType>
    <b:Guid>{082A2A13-6622-4BF2-908C-60A976FABC6B}</b:Guid>
    <b:Author>
      <b:Author>
        <b:Corporate>COMEPO</b:Corporate>
      </b:Author>
    </b:Author>
    <b:Title>COMEPO 10 años</b:Title>
    <b:InternetSiteTitle>¿Qué es el Consejo Mexicano de Estudios de Posgrado?</b:InternetSiteTitle>
    <b:Year>s. a.</b:Year>
    <b:YearAccessed>2011</b:YearAccessed>
    <b:MonthAccessed>abril</b:MonthAccessed>
    <b:DayAccessed>26</b:DayAccessed>
    <b:URL>http://www.comepo.org.mx/index.php/que-es-el-comepo</b:URL>
    <b:RefOrder>74</b:RefOrder>
  </b:Source>
  <b:Source>
    <b:Tag>COM05</b:Tag>
    <b:SourceType>DocumentFromInternetSite</b:SourceType>
    <b:Guid>{7FB952BB-2BA2-459A-855D-717823E1AC6D}</b:Guid>
    <b:Author>
      <b:Author>
        <b:Corporate>COMEPO</b:Corporate>
      </b:Author>
    </b:Author>
    <b:Title>Informe de actividades de la Comisión de Evaluación</b:Title>
    <b:Year>2005</b:Year>
    <b:Month>Septiembre</b:Month>
    <b:YearAccessed>2011</b:YearAccessed>
    <b:MonthAccessed>Abril</b:MonthAccessed>
    <b:DayAccessed>26</b:DayAccessed>
    <b:URL>www.comunicacion.ugto.mx/comepo/comepo/.../InformeActComEva.pdf</b:URL>
    <b:RefOrder>75</b:RefOrder>
  </b:Source>
  <b:Source>
    <b:Tag>Álv03</b:Tag>
    <b:SourceType>DocumentFromInternetSite</b:SourceType>
    <b:Guid>{2D549DFB-98C7-4A36-BD6D-3C05C2FDA11A}</b:Guid>
    <b:Author>
      <b:Author>
        <b:NameList>
          <b:Person>
            <b:Last>Álvarez Bruneliere</b:Last>
            <b:First>Silvia</b:First>
          </b:Person>
        </b:NameList>
      </b:Author>
    </b:Author>
    <b:Title>Apoyo y Fomento a Programas de Posgrado de Calidad</b:Title>
    <b:InternetSiteTitle>Conferencia Nacional de Ciencia y Tecnología</b:InternetSiteTitle>
    <b:Year>2003</b:Year>
    <b:Month>Noviembre</b:Month>
    <b:YearAccessed>2009</b:YearAccessed>
    <b:MonthAccessed>Diciembre</b:MonthAccessed>
    <b:DayAccessed>20</b:DayAccessed>
    <b:URL>www.conacyt.gob.mx/.../Ponencia%20Mtra.%20Silvia%20%C1lvarez_APOYO%20Y%20FOMENTO%20final.ppt</b:URL>
    <b:RefOrder>3</b:RefOrder>
  </b:Source>
  <b:Source>
    <b:Tag>CON091</b:Tag>
    <b:SourceType>InternetSite</b:SourceType>
    <b:Guid>{DD0044B1-414E-48BD-91D0-1813369CAC38}</b:Guid>
    <b:Author>
      <b:Author>
        <b:Corporate>CONACyT</b:Corporate>
      </b:Author>
    </b:Author>
    <b:Title>Programa Nacional de Posgrados de Calidad</b:Title>
    <b:Year>2009b</b:Year>
    <b:Month>octubre</b:Month>
    <b:Day>16</b:Day>
    <b:YearAccessed>2009</b:YearAccessed>
    <b:MonthAccessed>octubre</b:MonthAccessed>
    <b:DayAccessed>30</b:DayAccessed>
    <b:URL>http://www.conacyt.gob.mx/Calidad/Becas_ProgramasPosgradosNacionalesCalidad.html</b:URL>
    <b:RefOrder>76</b:RefOrder>
  </b:Source>
  <b:Source>
    <b:Tag>CON08</b:Tag>
    <b:SourceType>DocumentFromInternetSite</b:SourceType>
    <b:Guid>{DB8DED40-412B-4077-A07A-2F097FAFDDE0}</b:Guid>
    <b:Author>
      <b:Author>
        <b:Corporate>CONACyT &amp; SES</b:Corporate>
      </b:Author>
    </b:Author>
    <b:Title>Marco de Referencia para la evaluación y seguimiento de programas de posgrado</b:Title>
    <b:CountryRegion>México</b:CountryRegion>
    <b:Year>2008</b:Year>
    <b:RefOrder>77</b:RefOrder>
  </b:Source>
  <b:Source>
    <b:Tag>SES09</b:Tag>
    <b:SourceType>DocumentFromInternetSite</b:SourceType>
    <b:Guid>{E4575478-08EC-4063-8E4B-F588AB6C6B2E}</b:Guid>
    <b:Author>
      <b:Author>
        <b:Corporate>SES &amp; CONACYT</b:Corporate>
      </b:Author>
    </b:Author>
    <b:Title>Convocatoria 2009 Programa Nacional de Posgrados de Calidad</b:Title>
    <b:Year>2009</b:Year>
    <b:Month>abril</b:Month>
    <b:Day>1</b:Day>
    <b:YearAccessed>2009</b:YearAccessed>
    <b:MonthAccessed>junio</b:MonthAccessed>
    <b:DayAccessed>15</b:DayAccessed>
    <b:URL>www.conacyt.gob.mx/Posgrados/Convocatorias/2009/Convocatoria_PNPC_2009.pdf -</b:URL>
    <b:RefOrder>78</b:RefOrder>
  </b:Source>
  <b:Source>
    <b:Tag>Morsa</b:Tag>
    <b:SourceType>JournalArticle</b:SourceType>
    <b:Guid>{2E81782A-3496-473A-A942-91841CAF9574}</b:Guid>
    <b:Author>
      <b:Author>
        <b:NameList>
          <b:Person>
            <b:Last>Moreno Bayardo</b:Last>
            <b:First>María</b:First>
            <b:Middle>Guadalupe</b:Middle>
          </b:Person>
        </b:NameList>
      </b:Author>
    </b:Author>
    <b:Title>Innovación en los Posgrados en Educación. ¿Sólo un caso particular de lo posible?</b:Title>
    <b:Year>s. a. </b:Year>
    <b:JournalName>Revista de la Educación Superior en Línea</b:JournalName>
    <b:City>México</b:City>
    <b:RefOrder>79</b:RefOrder>
  </b:Source>
  <b:Source>
    <b:Tag>Gon091</b:Tag>
    <b:SourceType>DocumentFromInternetSite</b:SourceType>
    <b:Guid>{82A6F02A-BD38-49F0-9CCE-5B737C4E05F4}</b:Guid>
    <b:Author>
      <b:Author>
        <b:NameList>
          <b:Person>
            <b:Last>González Juárez</b:Last>
            <b:First>Graciela</b:First>
          </b:Person>
        </b:NameList>
      </b:Author>
    </b:Author>
    <b:Title>Consideraciones para la evaluación de los programas de posgrado del país: una visión colegiada</b:Title>
    <b:InternetSiteTitle>XXIII Congreso Nacional de Posgrado</b:InternetSiteTitle>
    <b:Year>2009</b:Year>
    <b:Month>Octubre</b:Month>
    <b:YearAccessed>2011</b:YearAccessed>
    <b:MonthAccessed>Abril</b:MonthAccessed>
    <b:DayAccessed>26</b:DayAccessed>
    <b:URL>http://www.comepo.org.mx/images/pdf/Memoria-XXIII-CNP.pdf</b:URL>
    <b:RefOrder>80</b:RefOrder>
  </b:Source>
  <b:Source>
    <b:Tag>CON11</b:Tag>
    <b:SourceType>Misc</b:SourceType>
    <b:Guid>{D9F3ACE6-CC06-423D-9A3C-B10B06900D66}</b:Guid>
    <b:Author>
      <b:Author>
        <b:Corporate>CONACyT</b:Corporate>
      </b:Author>
    </b:Author>
    <b:Title>Glosario de terminos del PNCP</b:Title>
    <b:Year>2011</b:Year>
    <b:Publisher>Consejo Nacional de Ciencia y Tecnología, Subsecretaría de Educación Superior, Dirección Adjunta de Posgrado y Becas y Dirección de Posgrado</b:Publisher>
    <b:Month>Enero</b:Month>
    <b:CountryRegion>México</b:CountryRegion>
    <b:RefOrder>81</b:RefOrder>
  </b:Source>
  <b:Source>
    <b:Tag>CONsa</b:Tag>
    <b:SourceType>DocumentFromInternetSite</b:SourceType>
    <b:Guid>{2FF0D377-DEC8-49F3-8E93-BA51E44358C8}</b:Guid>
    <b:Author>
      <b:Author>
        <b:Corporate>CONACyT</b:Corporate>
      </b:Author>
    </b:Author>
    <b:Title>Anexo: Manual para la evaluación de los programas de posgrado</b:Title>
    <b:Year>s. a.</b:Year>
    <b:YearAccessed>2009</b:YearAccessed>
    <b:MonthAccessed>Diciembre</b:MonthAccessed>
    <b:DayAccessed>13</b:DayAccessed>
    <b:URL>www.maestriaenderecho.cucsh.udg.mx/.../EvaluacionCONACYT.pdf</b:URL>
    <b:RefOrder>82</b:RefOrder>
  </b:Source>
  <b:Source>
    <b:Tag>CON0b</b:Tag>
    <b:SourceType>Misc</b:SourceType>
    <b:Guid>{C1E2103B-9119-430A-A2C0-F48BAE075DC1}</b:Guid>
    <b:Author>
      <b:Author>
        <b:Corporate>CONACyT</b:Corporate>
      </b:Author>
    </b:Author>
    <b:Title>Anexo A de la Convocatoria 2010</b:Title>
    <b:Year>2010a</b:Year>
    <b:Month>Julio</b:Month>
    <b:Day>13</b:Day>
    <b:Issue>Versión 3</b:Issue>
    <b:RefOrder>83</b:RefOrder>
  </b:Source>
  <b:Source>
    <b:Tag>Día06</b:Tag>
    <b:SourceType>Misc</b:SourceType>
    <b:Guid>{4D89FA61-2EBC-48C6-B285-8915BF22A751}</b:Guid>
    <b:Author>
      <b:Author>
        <b:NameList>
          <b:Person>
            <b:Last>Díaz Barriga</b:Last>
            <b:First>Ángel</b:First>
          </b:Person>
        </b:NameList>
      </b:Author>
    </b:Author>
    <b:Title>Indicadores para evaluar el posgrado o un problema de concepción de su papel y sus formas de evaluarlo</b:Title>
    <b:Year>2006</b:Year>
    <b:Month>junio</b:Month>
    <b:CountryRegion>México</b:CountryRegion>
    <b:Publisher>Dirección General de Estudios de Posgrado UNAM</b:Publisher>
    <b:Comments>www.angeldiazbarriga.com/doctos/archivos/estudios_calidad.pdf</b:Comments>
    <b:RefOrder>84</b:RefOrder>
  </b:Source>
  <b:Source>
    <b:Tag>COM</b:Tag>
    <b:SourceType>Misc</b:SourceType>
    <b:Guid>{4BF4E362-3407-4337-B1AF-E27554FEA723}</b:Guid>
    <b:Author>
      <b:Author>
        <b:NameList>
          <b:Person>
            <b:Last>Ponce Ramírez</b:Last>
            <b:First>Luis</b:First>
          </b:Person>
        </b:NameList>
      </b:Author>
    </b:Author>
    <b:Title>Redes de Posgrado: ¿Cómo estructurarlas y gestionarlas para que sean exitosas?</b:Title>
    <b:Comments>www.comepo.org.mx/images/pdf/PNPC2010-Comepo.pdf</b:Comments>
    <b:PublicationTitle>Avances y perspectivas del Programa Nacional de Posgrados de Calidad</b:PublicationTitle>
    <b:Year>2010</b:Year>
    <b:Month>Mayo</b:Month>
    <b:Day>27</b:Day>
    <b:CountryRegion>México</b:CountryRegion>
    <b:Publisher>CONACyT; COMEPO</b:Publisher>
    <b:RefOrder>85</b:RefOrder>
  </b:Source>
  <b:Source>
    <b:Tag>Álv10</b:Tag>
    <b:SourceType>Report</b:SourceType>
    <b:Guid>{06C5AB59-9B7A-4824-9266-F556C75C3682}</b:Guid>
    <b:Author>
      <b:Author>
        <b:NameList>
          <b:Person>
            <b:Last>Álvarez Bruneliere</b:Last>
            <b:First>Silvia</b:First>
          </b:Person>
          <b:Person>
            <b:Last>Ponce Ramírez</b:Last>
            <b:First>Luis</b:First>
          </b:Person>
        </b:NameList>
      </b:Author>
    </b:Author>
    <b:Title>Programa Nacional de Posgrados de Calidad</b:Title>
    <b:Year>2010</b:Year>
    <b:Month>Junio</b:Month>
    <b:City>México</b:City>
    <b:Publisher>Dirección Adjunta de Posgrado y Becas. Dirección de Posgrado</b:Publisher>
    <b:Medium>Reunión con los Coordinadores</b:Medium>
    <b:RefOrder>86</b:RefOrder>
  </b:Source>
  <b:Source>
    <b:Tag>MarcadorDePosición4</b:Tag>
    <b:SourceType>DocumentFromInternetSite</b:SourceType>
    <b:Guid>{445706C7-E993-41AE-B660-22A589E2AD26}</b:Guid>
    <b:Author>
      <b:Author>
        <b:NameList>
          <b:Person>
            <b:Last>CONACYT</b:Last>
          </b:Person>
        </b:NameList>
      </b:Author>
    </b:Author>
    <b:Title>Anexo: Manual para la evaluación de los programas de posgrado</b:Title>
    <b:Year>s. a.</b:Year>
    <b:YearAccessed>2009</b:YearAccessed>
    <b:MonthAccessed>Diciembre</b:MonthAccessed>
    <b:DayAccessed>13</b:DayAccessed>
    <b:URL>www.maestriaenderecho.cucsh.udg.mx/.../EvaluacionCONACYT.pdf</b:URL>
    <b:RefOrder>87</b:RefOrder>
  </b:Source>
  <b:Source>
    <b:Tag>CON10</b:Tag>
    <b:SourceType>DocumentFromInternetSite</b:SourceType>
    <b:Guid>{2E12C42C-DEBA-4A7D-93C7-40DD9CEF5EB4}</b:Guid>
    <b:Author>
      <b:Author>
        <b:Corporate>CONACyT</b:Corporate>
      </b:Author>
    </b:Author>
    <b:Title>Reunión con los Coordinadores Institucionales de Posgrado</b:Title>
    <b:Year>2010</b:Year>
    <b:YearAccessed>2011</b:YearAccessed>
    <b:MonthAccessed>febrero</b:MonthAccessed>
    <b:DayAccessed>23</b:DayAccessed>
    <b:URL>http://www.conacyt.gob.mx/Becas/Calidad/Documents/Reunion_Coordinadores_Inst_Posgrado.pdf</b:URL>
    <b:RefOrder>96</b:RefOrder>
  </b:Source>
  <b:Source>
    <b:Tag>Roj97</b:Tag>
    <b:SourceType>Book</b:SourceType>
    <b:Guid>{485A24F8-BE4A-487B-8911-445C703B22E4}</b:Guid>
    <b:Author>
      <b:Author>
        <b:NameList>
          <b:Person>
            <b:Last>Rojas Soriano</b:Last>
            <b:First>Raúl</b:First>
          </b:Person>
        </b:NameList>
      </b:Author>
    </b:Author>
    <b:Title>Trabajo intelectual e investigación de un plagio (Recomendaciones para redactar un texto).</b:Title>
    <b:Year>1997</b:Year>
    <b:City>México</b:City>
    <b:Publisher>Plaza y Valdés</b:Publisher>
    <b:RefOrder>30</b:RefOrder>
  </b:Source>
  <b:Source>
    <b:Tag>And07</b:Tag>
    <b:SourceType>JournalArticle</b:SourceType>
    <b:Guid>{87397ED5-08BE-4F30-AF0E-D52A54948871}</b:Guid>
    <b:Author>
      <b:Author>
        <b:NameList>
          <b:Person>
            <b:Last>Andión Gamboa</b:Last>
            <b:First>Mauricio</b:First>
          </b:Person>
        </b:NameList>
      </b:Author>
    </b:Author>
    <b:Title>Sobre la calidad en la educación superior: una visión cualitativa</b:Title>
    <b:JournalName>Reencuentro</b:JournalName>
    <b:Year>2007</b:Year>
    <b:Pages>83-92</b:Pages>
    <b:City>Distrito Federal, México</b:City>
    <b:Month>Diciembre</b:Month>
    <b:Issue>050</b:Issue>
    <b:RefOrder>1</b:RefOrder>
  </b:Source>
  <b:Source>
    <b:Tag>Aré031</b:Tag>
    <b:SourceType>DocumentFromInternetSite</b:SourceType>
    <b:Guid>{6A0B09A2-04D2-4506-BD38-58CE88FAA99C}</b:Guid>
    <b:Author>
      <b:Author>
        <b:NameList>
          <b:Person>
            <b:Last>Aréchiga Urtzuástegui</b:Last>
            <b:First>Hugo</b:First>
          </b:Person>
          <b:Person>
            <b:Last>Llarena de Thierry</b:Last>
            <b:First>Rocío</b:First>
          </b:Person>
        </b:NameList>
      </b:Author>
    </b:Author>
    <b:Title>Antecedentes, situación actual y perspectivas de la evaluación y la acreditación de la educación superior en México.</b:Title>
    <b:InternetSiteTitle>Consejo para la Acreditación de la Educación Superior, A. C.</b:InternetSiteTitle>
    <b:Year>2003</b:Year>
    <b:Month>abril</b:Month>
    <b:YearAccessed>2009</b:YearAccessed>
    <b:MonthAccessed>agosto</b:MonthAccessed>
    <b:DayAccessed>17</b:DayAccessed>
    <b:RefOrder>2</b:RefOrder>
  </b:Source>
  <b:Source>
    <b:Tag>Cab06</b:Tag>
    <b:SourceType>Book</b:SourceType>
    <b:Guid>{11370FD6-9A5B-4EE2-A355-1DD3DC191451}</b:Guid>
    <b:Author>
      <b:Author>
        <b:NameList>
          <b:Person>
            <b:Last>Cabrero Mendoza</b:Last>
            <b:First>Enrique</b:First>
          </b:Person>
          <b:Person>
            <b:Last>Valadés</b:Last>
            <b:First>Diego</b:First>
          </b:Person>
          <b:Person>
            <b:Last>López Ayllón</b:Last>
            <b:First>Sergio</b:First>
          </b:Person>
        </b:NameList>
      </b:Author>
    </b:Author>
    <b:Title>El diseño institucional de la política de ciencia y tecnología en México</b:Title>
    <b:Year>2006</b:Year>
    <b:City>Mexico</b:City>
    <b:Publisher>Universidad Nacional Autónoma de México, Centor de Investigación y Docencia Económicas</b:Publisher>
    <b:Pages>304</b:Pages>
    <b:RefOrder>5</b:RefOrder>
  </b:Source>
  <b:Source>
    <b:Tag>Arr06</b:Tag>
    <b:SourceType>JournalArticle</b:SourceType>
    <b:Guid>{A09B7C61-F5C0-4A2A-84A6-FBF137EF4C06}</b:Guid>
    <b:Author>
      <b:Author>
        <b:NameList>
          <b:Person>
            <b:Last>Arredondo Galván</b:Last>
            <b:First>Víctor</b:First>
            <b:Middle>Martiniano</b:Middle>
          </b:Person>
          <b:Person>
            <b:Last>Pérez Rivera</b:Last>
            <b:First>Graciela</b:First>
            <b:Middle>&amp; Morán Oviedo, Morán Oviedo Porfirio</b:Middle>
          </b:Person>
        </b:NameList>
      </b:Author>
    </b:Author>
    <b:Title>Políticas del posgrado en México</b:Title>
    <b:Year>2006</b:Year>
    <b:JournalName>Reencuentro</b:JournalName>
    <b:Pages>1-23</b:Pages>
    <b:City>Universidad Autónoma Metropolitana Xochimilco</b:City>
    <b:Volume>mayo</b:Volume>
    <b:Issue>45</b:Issue>
    <b:RefOrder>6</b:RefOrder>
  </b:Source>
  <b:Source>
    <b:Tag>MarcadorDePosición3</b:Tag>
    <b:SourceType>DocumentFromInternetSite</b:SourceType>
    <b:Guid>{4BE632FF-8D28-417E-B1BA-A597D8EB4EBA}</b:Guid>
    <b:Author>
      <b:Author>
        <b:Corporate>CONACYT &amp; SES</b:Corporate>
      </b:Author>
    </b:Author>
    <b:Title>Marco de Referencia para la evaluación y seguimiento de programas de posgrado</b:Title>
    <b:CountryRegion>México</b:CountryRegion>
    <b:Year>2008</b:Year>
    <b:RefOrder>7</b:RefOrder>
  </b:Source>
  <b:Source>
    <b:Tag>MarcadorDePosición5</b:Tag>
    <b:SourceType>Misc</b:SourceType>
    <b:Guid>{6C37BCA3-40A1-41CB-B56E-6EB012C48215}</b:Guid>
    <b:Author>
      <b:Author>
        <b:NameList>
          <b:Person>
            <b:Last>Arellano Hernández</b:Last>
            <b:First>Antonio</b:First>
          </b:Person>
          <b:Person>
            <b:Last>Ledesma Mateos</b:Last>
            <b:First>Ismael</b:First>
          </b:Person>
        </b:NameList>
      </b:Author>
    </b:Author>
    <b:Title>Evaluación de la maestría en metodología de la ciencia</b:Title>
    <b:Year>2002</b:Year>
    <b:RefOrder>88</b:RefOrder>
  </b:Source>
  <b:Source>
    <b:Tag>Com03</b:Tag>
    <b:SourceType>Report</b:SourceType>
    <b:Guid>{C2D3B1E9-AD04-4A86-93C8-8E21F9870FB1}</b:Guid>
    <b:Author>
      <b:Author>
        <b:NameList>
          <b:Person>
            <b:Last>Comisión del Colegio de Posgrado</b:Last>
          </b:Person>
        </b:NameList>
      </b:Author>
    </b:Author>
    <b:Title>Reestructuración. Maestría en Ciencias en Metodología de la Ciencia</b:Title>
    <b:Year>2003</b:Year>
    <b:City>México</b:City>
    <b:Publisher>Ciecas-IPN</b:Publisher>
    <b:RefOrder>36</b:RefOrder>
  </b:Source>
  <b:Source>
    <b:Tag>Rod99</b:Tag>
    <b:SourceType>DocumentFromInternetSite</b:SourceType>
    <b:Guid>{4AC6D05C-C564-4D82-8926-7E4ADEB49462}</b:Guid>
    <b:Author>
      <b:Author>
        <b:NameList>
          <b:Person>
            <b:Last>Rodríguez de Rivera</b:Last>
            <b:First>J.</b:First>
            <b:Middle>C.</b:Middle>
          </b:Person>
        </b:NameList>
      </b:Author>
      <b:Editor>
        <b:NameList>
          <b:Person>
            <b:Last>Universidad de Alcalá</b:Last>
          </b:Person>
        </b:NameList>
      </b:Editor>
    </b:Author>
    <b:Title>Metodología como metáfora de métodos y metódicas</b:Title>
    <b:Year>1999</b:Year>
    <b:InternetSiteTitle>CEPADE Departamento de Ciencias Empresariales</b:InternetSiteTitle>
    <b:YearAccessed>2007</b:YearAccessed>
    <b:MonthAccessed>septiembre</b:MonthAccessed>
    <b:DayAccessed>1</b:DayAccessed>
    <b:URL>http//sunwc.cepade.es/_rivera/bases_teor/episteme/</b:URL>
    <b:RefOrder>13</b:RefOrder>
  </b:Source>
  <b:Source>
    <b:Tag>Mor02</b:Tag>
    <b:SourceType>JournalArticle</b:SourceType>
    <b:Guid>{59A857D6-C328-4E7F-AB53-BDE5E0E8D5FB}</b:Guid>
    <b:Author>
      <b:Author>
        <b:NameList>
          <b:Person>
            <b:Last>Morles</b:Last>
            <b:First>V.</b:First>
          </b:Person>
        </b:NameList>
      </b:Author>
    </b:Author>
    <b:Title>La metodología como ciencia y el método científico: un espacio polémico</b:Title>
    <b:Year>2002</b:Year>
    <b:Month>enero</b:Month>
    <b:JournalName>Revista del PED</b:JournalName>
    <b:Pages>121-146</b:Pages>
    <b:Volume>23</b:Volume>
    <b:Issue>66</b:Issue>
    <b:Comments>Recuperado el 28 de agosto de 2007 de la base de datos Scielo</b:Comments>
    <b:RefOrder>14</b:RefOrder>
  </b:Source>
  <b:Source>
    <b:Tag>Gut84</b:Tag>
    <b:SourceType>Book</b:SourceType>
    <b:Guid>{9D1FA0DA-F4DE-40C4-8D8D-75BBA0CD6D7F}</b:Guid>
    <b:Author>
      <b:Author>
        <b:NameList>
          <b:Person>
            <b:Last>Gutiérrez Pantoja</b:Last>
            <b:First>Gabriel</b:First>
          </b:Person>
        </b:NameList>
      </b:Author>
    </b:Author>
    <b:Title>Metodología de las ciencias sociales - i</b:Title>
    <b:Year>1984</b:Year>
    <b:City>México</b:City>
    <b:Publisher>Editia Mexicana</b:Publisher>
    <b:RefOrder>15</b:RefOrder>
  </b:Source>
  <b:Source>
    <b:Tag>Ser90</b:Tag>
    <b:SourceType>Book</b:SourceType>
    <b:Guid>{733B4495-40C5-468D-B9DB-231FA9ADE0FA}</b:Guid>
    <b:Author>
      <b:Author>
        <b:NameList>
          <b:Person>
            <b:Last>Serrano</b:Last>
            <b:First>A.</b:First>
            <b:Middle>Jorge</b:Middle>
          </b:Person>
        </b:NameList>
      </b:Author>
    </b:Author>
    <b:Title>Introducción, Filosofía de la ciencia</b:Title>
    <b:Year>1990</b:Year>
    <b:City>México</b:City>
    <b:Publisher>Trillas</b:Publisher>
    <b:RefOrder>16</b:RefOrder>
  </b:Source>
  <b:Source>
    <b:Tag>Gia99</b:Tag>
    <b:SourceType>BookSection</b:SourceType>
    <b:Guid>{FAAC95BF-B1C0-47BA-9A60-33B0654DF732}</b:Guid>
    <b:Author>
      <b:Author>
        <b:NameList>
          <b:Person>
            <b:Last>Gianella</b:Last>
            <b:First>E.</b:First>
            <b:Middle>Alicia</b:Middle>
          </b:Person>
        </b:NameList>
      </b:Author>
      <b:BookAuthor>
        <b:NameList>
          <b:Person>
            <b:Last>Scarano</b:Last>
            <b:First>Eduardo</b:First>
            <b:Middle>R</b:Middle>
          </b:Person>
        </b:NameList>
      </b:BookAuthor>
    </b:Author>
    <b:Title>La epistemología y la metodología como disciplinas</b:Title>
    <b:Year>1999</b:Year>
    <b:City>Buenos Aries</b:City>
    <b:Publisher>Ediciones Macchi</b:Publisher>
    <b:BookTitle>Metodología de las ciencias sociales. Lógica, lenguaje y racionalidad</b:BookTitle>
    <b:Pages>47-56</b:Pages>
    <b:CountryRegion>Argentina</b:CountryRegion>
    <b:RefOrder>17</b:RefOrder>
  </b:Source>
  <b:Source>
    <b:Tag>DeG80</b:Tag>
    <b:SourceType>Book</b:SourceType>
    <b:Guid>{D3268E4D-2EAA-4ABF-9FEA-C5090A0CB9FC}</b:Guid>
    <b:Author>
      <b:Author>
        <b:NameList>
          <b:Person>
            <b:Last>De Gortari</b:Last>
            <b:First>Eli</b:First>
          </b:Person>
        </b:NameList>
      </b:Author>
    </b:Author>
    <b:Title>La metodología: una discusión y otros ensayos sobre el método</b:Title>
    <b:Year>1980</b:Year>
    <b:City>México</b:City>
    <b:Publisher>Grijalbo</b:Publisher>
    <b:RefOrder>21</b:RefOrder>
  </b:Source>
  <b:Source>
    <b:Tag>Jim04</b:Tag>
    <b:SourceType>Book</b:SourceType>
    <b:Guid>{6292D888-B5DC-4054-AB3A-8AC6310B9D3D}</b:Guid>
    <b:Author>
      <b:Author>
        <b:NameList>
          <b:Person>
            <b:Last>Jiménez Domínguez</b:Last>
            <b:First>Rolando</b:First>
            <b:Middle>Vladimir</b:Middle>
          </b:Person>
        </b:NameList>
      </b:Author>
    </b:Author>
    <b:Title>Los mitos del método</b:Title>
    <b:Year>2004</b:Year>
    <b:City>México</b:City>
    <b:Publisher>IPN CIECAS</b:Publisher>
    <b:RefOrder>22</b:RefOrder>
  </b:Source>
  <b:Source>
    <b:Tag>Pac06</b:Tag>
    <b:SourceType>Book</b:SourceType>
    <b:Guid>{72864465-2BFD-435E-8A57-5067B7425AD7}</b:Guid>
    <b:Author>
      <b:Author>
        <b:NameList>
          <b:Person>
            <b:Last>Pacheco Espejel</b:Last>
            <b:First>Arturo</b:First>
          </b:Person>
          <b:Person>
            <b:Last>Cruz Estrada</b:Last>
            <b:First>Ma.</b:First>
            <b:Middle>Cristina</b:Middle>
          </b:Person>
        </b:NameList>
      </b:Author>
    </b:Author>
    <b:Title>Metodología crítica de la invesetigación. Lógica, procedimiento y técnicas</b:Title>
    <b:Year>2006</b:Year>
    <b:City>México</b:City>
    <b:Publisher>CECSA</b:Publisher>
    <b:RefOrder>18</b:RefOrder>
  </b:Source>
  <b:Source>
    <b:Tag>Fes89</b:Tag>
    <b:SourceType>Book</b:SourceType>
    <b:Guid>{BCD46DA5-EE58-49C4-A14C-6194269CD44B}</b:Guid>
    <b:Author>
      <b:Author>
        <b:NameList>
          <b:Person>
            <b:Last>Festinger</b:Last>
            <b:First>León</b:First>
          </b:Person>
          <b:Person>
            <b:Last>Katz</b:Last>
            <b:First>Daniel</b:First>
          </b:Person>
        </b:NameList>
      </b:Author>
    </b:Author>
    <b:Title>Los métodos de investigación en las Ciencias Sociales</b:Title>
    <b:Year>1989</b:Year>
    <b:City>México</b:City>
    <b:Publisher>Paidós</b:Publisher>
    <b:RefOrder>19</b:RefOrder>
  </b:Source>
  <b:Source>
    <b:Tag>Gar97</b:Tag>
    <b:SourceType>Book</b:SourceType>
    <b:Guid>{62342057-3917-46F4-AE84-409D3F306E6E}</b:Guid>
    <b:Author>
      <b:Author>
        <b:NameList>
          <b:Person>
            <b:Last>García Avilés</b:Last>
            <b:First>Alfredo</b:First>
          </b:Person>
        </b:NameList>
      </b:Author>
    </b:Author>
    <b:Title>Introducción a la metodología de la investigación científica</b:Title>
    <b:Year>1997</b:Year>
    <b:City>México</b:City>
    <b:Publisher>Plaza y Valdés</b:Publisher>
    <b:RefOrder>20</b:RefOrder>
  </b:Source>
  <b:Source>
    <b:Tag>Mac78</b:Tag>
    <b:SourceType>Book</b:SourceType>
    <b:Guid>{9324C8C6-C093-4428-9675-3F75F8C01F6F}</b:Guid>
    <b:Author>
      <b:Author>
        <b:NameList>
          <b:Person>
            <b:Last>Machlup</b:Last>
            <b:First>Fritz</b:First>
          </b:Person>
        </b:NameList>
      </b:Author>
    </b:Author>
    <b:Title>Methodology of Economics and Other Social Sciences</b:Title>
    <b:Year>1978</b:Year>
    <b:City>Estados Unidos de América</b:City>
    <b:Publisher>Academic Press</b:Publisher>
    <b:RefOrder>23</b:RefOrder>
  </b:Source>
  <b:Source>
    <b:Tag>And95</b:Tag>
    <b:SourceType>Book</b:SourceType>
    <b:Guid>{14B2F8C4-8C40-4E86-98F9-7418F7AF8185}</b:Guid>
    <b:Author>
      <b:Author>
        <b:NameList>
          <b:Person>
            <b:Last>Ander-Egg</b:Last>
            <b:First>Ezequiel</b:First>
          </b:Person>
        </b:NameList>
      </b:Author>
    </b:Author>
    <b:Title>Técnicas de investigación social</b:Title>
    <b:Year>1995</b:Year>
    <b:City>Buenos Aires</b:City>
    <b:Publisher>Lumen</b:Publisher>
    <b:RefOrder>24</b:RefOrder>
  </b:Source>
  <b:Source>
    <b:Tag>Los88</b:Tag>
    <b:SourceType>Book</b:SourceType>
    <b:Guid>{DF442E17-CE2B-4EE7-8271-FB074137A968}</b:Guid>
    <b:Author>
      <b:Author>
        <b:NameList>
          <b:Person>
            <b:Last>Losse</b:Last>
            <b:First>John</b:First>
          </b:Person>
        </b:NameList>
      </b:Author>
    </b:Author>
    <b:Title>Filosofia de la ciencia e investigación histórica</b:Title>
    <b:Year>1988</b:Year>
    <b:City>Madrid</b:City>
    <b:Publisher>Alianza</b:Publisher>
    <b:RefOrder>25</b:RefOrder>
  </b:Source>
  <b:Source>
    <b:Tag>Ser02</b:Tag>
    <b:SourceType>Misc</b:SourceType>
    <b:Guid>{0B3E5D9E-2D02-4D49-80A5-6162FBA2EB82}</b:Guid>
    <b:Author>
      <b:Author>
        <b:NameList>
          <b:Person>
            <b:Last>Serrano Castañeda</b:Last>
            <b:First>José</b:First>
            <b:Middle>Antonio</b:Middle>
          </b:Person>
        </b:NameList>
      </b:Author>
      <b:Editor>
        <b:NameList>
          <b:Person>
            <b:Last>171-270</b:Last>
          </b:Person>
        </b:NameList>
      </b:Editor>
    </b:Author>
    <b:Title>Tendencias en la formación de docentes</b:Title>
    <b:PublicationTitle>La Investigación Educativa en México 1992-2002. Sujetos, actores y procesos de formación. Tomo II: Formación de Docentes (Normal y universidad) y de profesionales de la educación. Formación profesional</b:PublicationTitle>
    <b:Year>2002</b:Year>
    <b:CountryRegion>México</b:CountryRegion>
    <b:Publisher>Consejo Mexicano de la Investigación Educativa</b:Publisher>
    <b:Medium>Programa de fomento a la investigación Educativa. Convocatoria 2002</b:Medium>
    <b:Issue>II</b:Issue>
    <b:RefOrder>4</b:RefOrder>
  </b:Source>
</b:Sources>
</file>

<file path=customXml/itemProps1.xml><?xml version="1.0" encoding="utf-8"?>
<ds:datastoreItem xmlns:ds="http://schemas.openxmlformats.org/officeDocument/2006/customXml" ds:itemID="{E532C1FB-348A-45FB-B25E-8DA1B90D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151</Pages>
  <Words>43202</Words>
  <Characters>237611</Characters>
  <Application>Microsoft Office Word</Application>
  <DocSecurity>0</DocSecurity>
  <Lines>1980</Lines>
  <Paragraphs>560</Paragraphs>
  <ScaleCrop>false</ScaleCrop>
  <HeadingPairs>
    <vt:vector size="2" baseType="variant">
      <vt:variant>
        <vt:lpstr>Título</vt:lpstr>
      </vt:variant>
      <vt:variant>
        <vt:i4>1</vt:i4>
      </vt:variant>
    </vt:vector>
  </HeadingPairs>
  <TitlesOfParts>
    <vt:vector size="1" baseType="lpstr">
      <vt:lpstr/>
    </vt:vector>
  </TitlesOfParts>
  <Company>INSTITUTO pOLITÉCNICO nACIONAL                                                                                                CENTRO DE INVESTIGACIONES ECONÓMICAS                                                            ADMINISTRATIVAS Y SOCIALES</Company>
  <LinksUpToDate>false</LinksUpToDate>
  <CharactersWithSpaces>280253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SIKAID</dc:creator>
  <cp:lastModifiedBy>ZURCK</cp:lastModifiedBy>
  <cp:revision>45</cp:revision>
  <cp:lastPrinted>2011-08-03T13:52:00Z</cp:lastPrinted>
  <dcterms:created xsi:type="dcterms:W3CDTF">2011-11-02T18:34:00Z</dcterms:created>
  <dcterms:modified xsi:type="dcterms:W3CDTF">2011-11-29T00:57:00Z</dcterms:modified>
</cp:coreProperties>
</file>